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shd w:val="clear" w:color="auto" w:fill="auto"/>
        <w:tblLayout w:type="autofit"/>
        <w:tblCellMar>
          <w:top w:w="0" w:type="dxa"/>
          <w:left w:w="0" w:type="dxa"/>
          <w:bottom w:w="0" w:type="dxa"/>
          <w:right w:w="0" w:type="dxa"/>
        </w:tblCellMar>
      </w:tblPr>
      <w:tblGrid>
        <w:gridCol w:w="579"/>
        <w:gridCol w:w="932"/>
        <w:gridCol w:w="1033"/>
        <w:gridCol w:w="2888"/>
        <w:gridCol w:w="2259"/>
        <w:gridCol w:w="1121"/>
        <w:gridCol w:w="1684"/>
      </w:tblGrid>
      <w:tr>
        <w:tblPrEx>
          <w:shd w:val="clear" w:color="auto" w:fill="auto"/>
          <w:tblCellMar>
            <w:top w:w="0" w:type="dxa"/>
            <w:left w:w="0" w:type="dxa"/>
            <w:bottom w:w="0" w:type="dxa"/>
            <w:right w:w="0" w:type="dxa"/>
          </w:tblCellMar>
        </w:tblPrEx>
        <w:trPr>
          <w:trHeight w:val="49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洪山区2020年项目资金绩效目标申报表</w:t>
            </w:r>
          </w:p>
        </w:tc>
      </w:tr>
      <w:tr>
        <w:tblPrEx>
          <w:shd w:val="clear" w:color="auto" w:fill="auto"/>
          <w:tblCellMar>
            <w:top w:w="0" w:type="dxa"/>
            <w:left w:w="0" w:type="dxa"/>
            <w:bottom w:w="0" w:type="dxa"/>
            <w:right w:w="0" w:type="dxa"/>
          </w:tblCellMar>
        </w:tblPrEx>
        <w:trPr>
          <w:trHeight w:val="36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单位名称：武汉市洪山区人民政府洪山街办事处                                   资金单位：万元</w:t>
            </w:r>
          </w:p>
        </w:tc>
      </w:tr>
      <w:tr>
        <w:tblPrEx>
          <w:shd w:val="clear" w:color="auto" w:fill="auto"/>
          <w:tblCellMar>
            <w:top w:w="0" w:type="dxa"/>
            <w:left w:w="0" w:type="dxa"/>
            <w:bottom w:w="0" w:type="dxa"/>
            <w:right w:w="0" w:type="dxa"/>
          </w:tblCellMar>
        </w:tblPrEx>
        <w:trPr>
          <w:trHeight w:val="439"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项目名称</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城乡社区支出</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项目代码</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项目主管部门</w:t>
            </w:r>
          </w:p>
        </w:tc>
        <w:tc>
          <w:tcPr>
            <w:tcW w:w="1868"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武汉市洪山区人民政府洪山街办事处</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项目执行单位</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洪山街公共管理办公室、洪山街社会事务服务中心</w:t>
            </w:r>
          </w:p>
        </w:tc>
      </w:tr>
      <w:tr>
        <w:tblPrEx>
          <w:shd w:val="clear" w:color="auto" w:fill="auto"/>
          <w:tblCellMar>
            <w:top w:w="0" w:type="dxa"/>
            <w:left w:w="0" w:type="dxa"/>
            <w:bottom w:w="0" w:type="dxa"/>
            <w:right w:w="0" w:type="dxa"/>
          </w:tblCellMar>
        </w:tblPrEx>
        <w:trPr>
          <w:trHeight w:val="439"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项目负责人</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谭凯、赵凤兰、喻英</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联系电话</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027-87293471</w:t>
            </w:r>
            <w:bookmarkStart w:id="0" w:name="_GoBack"/>
            <w:bookmarkEnd w:id="0"/>
          </w:p>
        </w:tc>
      </w:tr>
      <w:tr>
        <w:tblPrEx>
          <w:shd w:val="clear" w:color="auto" w:fill="auto"/>
          <w:tblCellMar>
            <w:top w:w="0" w:type="dxa"/>
            <w:left w:w="0" w:type="dxa"/>
            <w:bottom w:w="0" w:type="dxa"/>
            <w:right w:w="0" w:type="dxa"/>
          </w:tblCellMar>
        </w:tblPrEx>
        <w:trPr>
          <w:trHeight w:val="439"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考核级次</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1.一般项目□                    2.重点项目R</w:t>
            </w:r>
          </w:p>
        </w:tc>
      </w:tr>
      <w:tr>
        <w:tblPrEx>
          <w:shd w:val="clear" w:color="auto" w:fill="auto"/>
          <w:tblCellMar>
            <w:top w:w="0" w:type="dxa"/>
            <w:left w:w="0" w:type="dxa"/>
            <w:bottom w:w="0" w:type="dxa"/>
            <w:right w:w="0" w:type="dxa"/>
          </w:tblCellMar>
        </w:tblPrEx>
        <w:trPr>
          <w:trHeight w:val="5835"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项目申请理由</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项目的政策依据；武政[2019]9号文市《人民政府办公厅关于调整生活垃圾处理工作机制的通知》、武城管[2019]29号文《市城管执法委、市财政局关于武汉市城镇垃圾处理费征收使用管理有关事项的通知》；洪通字第091号赵区长批示公文处理笺、洪请字第403号林区长批示公文处理笺、市容保障2018年中标通知书及合同、2019年政府采购计划生成备案单；武城综委办[2018]2号文关于印发《武汉市城市综合管理工作考核办法（试行）的通知》，洪城综委办[2018]3号文，洪办通[2018]36号、洪城管[2019]17号文，《洪山区城管委关于市政道路年度维修经费测算标准的通知》，《市城管委关于做好2019年区级城市管理预算编制工作的通知》。市城管委关于推进南湖水环境提升的工作方案，河湖、铁路沿线巡查保洁中标通知书及合同洪山区“保军运80天水污染治理攻坚行动”工作方案、关于进一步加大辖区铁路沿线整治工作力度的请示林区长批示公文处理笺第543号，2019年查处违法建设工作目标分解表、2019年拆违及环境整治中标通知书及合同，应急维修及环境整治中标通知书及合同、洪山区城管委关于市政道路年度维修经费测算标准的通知、及明细、渣土管理中标通知书及合同、区人民政府办公室关于印发洪山区建筑垃圾管理工作方案的通知、洪城管委办【2012】25号文、关于做好桥梁隧道安全保护区执法管理责任牌设置工作的通知；根据区物业管理工作领导小组下发的“关于将2019年度红色物业工作经费纳入财政预算的通知”；依据武办文[2017]71号文、洪政办[2018]9号文、武分类[2019]1号文，洪通字第193号文赵区长批示公文处理笺《关于落实生活垃圾分类湿垃圾收运处理工作的通知》，市城管委《关于做好2019年区级城市管理预算编制工作的通知》、《关于落实生活垃圾分类湿垃圾收运处理工作的紧急通知》、2018年和2019年垃圾分类中标通知书和合同、2020年生活垃圾整体推进试点社区明细表。</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2.项目与部门职能的相关性；道路清扫保洁；市容保障；涉及城市管理中环境卫生、渣土管理、道路市政设施、桥梁、拆违、地埋站、河湖保护等方面；红色小区物业补贴；生活垃圾分类。</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3.项目实施的现实意义；改善城市环境面貌，提升城市管理水平；加强老旧小区红色管理；提高生活垃圾减量化、资源化、无害化处理水平。</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1800"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项目主要内容</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预算资金的主要投向及工作任务：</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1.道路清扫保洁。</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2.城镇垃圾处理。</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3.门前三包、市容保障。</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4.大城管专项补助经费。</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5.红色物业专项经费</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6.生活垃圾分类。</w:t>
            </w:r>
          </w:p>
        </w:tc>
      </w:tr>
      <w:tr>
        <w:tblPrEx>
          <w:shd w:val="clear" w:color="auto" w:fill="auto"/>
          <w:tblCellMar>
            <w:top w:w="0" w:type="dxa"/>
            <w:left w:w="0" w:type="dxa"/>
            <w:bottom w:w="0" w:type="dxa"/>
            <w:right w:w="0" w:type="dxa"/>
          </w:tblCellMar>
        </w:tblPrEx>
        <w:trPr>
          <w:trHeight w:val="480"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项目总预算</w:t>
            </w:r>
          </w:p>
        </w:tc>
        <w:tc>
          <w:tcPr>
            <w:tcW w:w="18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项目当年预算</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1080"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项目前两年预算及当年预算变动情况</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1.前两年预算安排情况：2019年预算为2900.06万元；</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 2.当年预算变动情况及理由：2020年预算为2195.57万元，相比上年，减少了704.49万元。</w:t>
            </w:r>
          </w:p>
        </w:tc>
      </w:tr>
      <w:tr>
        <w:tblPrEx>
          <w:shd w:val="clear" w:color="auto" w:fill="auto"/>
          <w:tblCellMar>
            <w:top w:w="0" w:type="dxa"/>
            <w:left w:w="0" w:type="dxa"/>
            <w:bottom w:w="0" w:type="dxa"/>
            <w:right w:w="0" w:type="dxa"/>
          </w:tblCellMar>
        </w:tblPrEx>
        <w:trPr>
          <w:trHeight w:val="439" w:hRule="atLeast"/>
        </w:trPr>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项目资金来源</w:t>
            </w: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资金来源项目</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1.一般公共预算财政拨款收入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其中：申请当年预算拨款</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2.政府性基金预算财政拨款收入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其中：申请当年预算拨款</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3.事业收入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4.上级补助收入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5.附属单位上缴收入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6.事业单位经营收入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7.其他收入</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8.用事业基金弥补收支差额</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9.上年结转</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其中：使用上年度一般公共预算财政拨款结余结转</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3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 xml:space="preserve">        使用上年度政府性基金预算财政拨款结余结转</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项目支出预算及测算依据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项目支出明细预算</w:t>
            </w: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项目支出明细</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合计</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 道路清扫保洁经费</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854.35</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2.城镇垃圾处理费</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495</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 “门前三包”经费</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260</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 大城管专项补助经费</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403</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 锣厂宿舍补贴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2.57</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 乡政府补贴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4.57</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7. 华南宿舍补贴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1.43</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 丽湖花园补贴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3.1</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 夏家村补贴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6.12</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 采荷居补贴</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5.43</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11.垃圾分类资金</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135</w:t>
            </w:r>
          </w:p>
        </w:tc>
      </w:tr>
      <w:tr>
        <w:tblPrEx>
          <w:shd w:val="clear" w:color="auto" w:fill="auto"/>
          <w:tblCellMar>
            <w:top w:w="0" w:type="dxa"/>
            <w:left w:w="0" w:type="dxa"/>
            <w:bottom w:w="0" w:type="dxa"/>
            <w:right w:w="0" w:type="dxa"/>
          </w:tblCellMar>
        </w:tblPrEx>
        <w:trPr>
          <w:trHeight w:val="480"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29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12.湿垃圾清运</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w:t>
            </w:r>
          </w:p>
        </w:tc>
      </w:tr>
      <w:tr>
        <w:tblPrEx>
          <w:shd w:val="clear" w:color="auto" w:fill="auto"/>
          <w:tblCellMar>
            <w:top w:w="0" w:type="dxa"/>
            <w:left w:w="0" w:type="dxa"/>
            <w:bottom w:w="0" w:type="dxa"/>
            <w:right w:w="0" w:type="dxa"/>
          </w:tblCellMar>
        </w:tblPrEx>
        <w:trPr>
          <w:trHeight w:val="1605"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测算依据及说明</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道路清扫保洁经费854.35万元；与老旧社区、村（湾）垃圾清运费并项，洪山街老旧小区、城中村村湾16个，弥补经费不足；安保服务费130.05+128.928=258.978万元（由于考虑合理损耗故预估为260万元）；大城管专项补助经费为403万元；按照6个老旧小区补贴，其中锣厂宿舍2.57万元、乡政府宿舍4.57万元、华南宿舍1.43万元、丽湖花园3.10万元、夏家村4号6.12万元、采荷居5.43万元，共计23.22万元。2019年合同执行到2020年4月，需要垃圾分类资金135万元，湿垃圾清运25万元。</w:t>
            </w:r>
          </w:p>
        </w:tc>
      </w:tr>
      <w:tr>
        <w:tblPrEx>
          <w:shd w:val="clear" w:color="auto" w:fill="auto"/>
          <w:tblCellMar>
            <w:top w:w="0" w:type="dxa"/>
            <w:left w:w="0" w:type="dxa"/>
            <w:bottom w:w="0" w:type="dxa"/>
            <w:right w:w="0" w:type="dxa"/>
          </w:tblCellMar>
        </w:tblPrEx>
        <w:trPr>
          <w:trHeight w:val="720" w:hRule="atLeast"/>
        </w:trPr>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项目绩效总目标</w:t>
            </w:r>
          </w:p>
        </w:tc>
        <w:tc>
          <w:tcPr>
            <w:tcW w:w="427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保障道路清洁，城市环境优美；处理城镇垃圾，保障道路干净清洁，维护城市环境优美；提高生活垃圾减量化、资源化、无害化处理水平。</w:t>
            </w:r>
          </w:p>
        </w:tc>
      </w:tr>
      <w:tr>
        <w:tblPrEx>
          <w:shd w:val="clear" w:color="auto" w:fill="auto"/>
          <w:tblCellMar>
            <w:top w:w="0" w:type="dxa"/>
            <w:left w:w="0" w:type="dxa"/>
            <w:bottom w:w="0" w:type="dxa"/>
            <w:right w:w="0" w:type="dxa"/>
          </w:tblCellMar>
        </w:tblPrEx>
        <w:trPr>
          <w:trHeight w:val="559" w:hRule="atLeast"/>
        </w:trPr>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项目年度绩效</w:t>
            </w:r>
            <w:r>
              <w:rPr>
                <w:rFonts w:hint="default" w:ascii="仿宋_GB2312" w:hAnsi="宋体" w:eastAsia="仿宋_GB2312" w:cs="仿宋_GB2312"/>
                <w:i w:val="0"/>
                <w:color w:val="000000"/>
                <w:kern w:val="0"/>
                <w:sz w:val="22"/>
                <w:szCs w:val="22"/>
                <w:u w:val="none"/>
                <w:lang w:val="en-US" w:eastAsia="zh-CN" w:bidi="ar"/>
              </w:rPr>
              <w:br w:type="textWrapping"/>
            </w:r>
            <w:r>
              <w:rPr>
                <w:rFonts w:hint="default" w:ascii="仿宋_GB2312" w:hAnsi="宋体" w:eastAsia="仿宋_GB2312" w:cs="仿宋_GB2312"/>
                <w:i w:val="0"/>
                <w:color w:val="000000"/>
                <w:kern w:val="0"/>
                <w:sz w:val="22"/>
                <w:szCs w:val="22"/>
                <w:u w:val="none"/>
                <w:lang w:val="en-US" w:eastAsia="zh-CN" w:bidi="ar"/>
              </w:rPr>
              <w:t xml:space="preserve">指标        </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一级指标</w:t>
            </w: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二级指标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指标名称</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指标值</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产出指标</w:t>
            </w: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数量指标1</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道路清扫数量</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87</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数量指标2</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清理区域数</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16个</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数量指标3</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外包服务市容保障数量（门店总数）</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3058户</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数量指标4</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补贴小区数量</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6</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数量指标5</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试点社区数量</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11个</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数量指标6</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试点单位数量</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20个</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质量指标1</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生活垃圾分类试点社区覆盖率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质量指标2</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城市综合管理考核评比排名</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25名之前</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质量指标3</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清扫完成率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质量指标4</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垃圾处理完成度</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95%</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质量指标5</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城市综合考核评比排名</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85名奋斗目标，90名必达目标</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时效指标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完成及时率</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100%</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成本指标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不超过预算总金额</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2195.57万元</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shd w:val="clear" w:color="auto" w:fill="auto"/>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效益指标</w:t>
            </w: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经济效益</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无</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社会效益</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美化市容环境</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生态效益指标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环境效益</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城市综合管理环境综合整治提升</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可持续影响</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落实长效管理</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559" w:hRule="atLeast"/>
        </w:trPr>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2"/>
                <w:szCs w:val="22"/>
                <w:u w:val="none"/>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满意度指标</w:t>
            </w:r>
          </w:p>
        </w:tc>
        <w:tc>
          <w:tcPr>
            <w:tcW w:w="10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社会公众对市容满意度</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90%</w:t>
            </w:r>
          </w:p>
        </w:tc>
        <w:tc>
          <w:tcPr>
            <w:tcW w:w="8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2020年度工作目标</w:t>
            </w:r>
          </w:p>
        </w:tc>
      </w:tr>
      <w:tr>
        <w:tblPrEx>
          <w:tblCellMar>
            <w:top w:w="0" w:type="dxa"/>
            <w:left w:w="0" w:type="dxa"/>
            <w:bottom w:w="0" w:type="dxa"/>
            <w:right w:w="0" w:type="dxa"/>
          </w:tblCellMar>
        </w:tblPrEx>
        <w:trPr>
          <w:trHeight w:val="480" w:hRule="atLeast"/>
        </w:trPr>
        <w:tc>
          <w:tcPr>
            <w:tcW w:w="72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分管领导：</w:t>
            </w:r>
          </w:p>
        </w:tc>
        <w:tc>
          <w:tcPr>
            <w:tcW w:w="492"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1376"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107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科室领导：</w:t>
            </w:r>
          </w:p>
        </w:tc>
        <w:tc>
          <w:tcPr>
            <w:tcW w:w="534" w:type="pct"/>
            <w:tcBorders>
              <w:top w:val="nil"/>
              <w:left w:val="nil"/>
              <w:bottom w:val="nil"/>
              <w:right w:val="nil"/>
            </w:tcBorders>
            <w:shd w:val="clear" w:color="auto" w:fill="auto"/>
            <w:noWrap/>
            <w:tcMar>
              <w:top w:w="15" w:type="dxa"/>
              <w:left w:w="15" w:type="dxa"/>
              <w:right w:w="15" w:type="dxa"/>
            </w:tcMar>
            <w:vAlign w:val="center"/>
          </w:tcPr>
          <w:p>
            <w:pPr>
              <w:rPr>
                <w:rFonts w:hint="default" w:ascii="仿宋_GB2312" w:hAnsi="宋体" w:eastAsia="仿宋_GB2312" w:cs="仿宋_GB2312"/>
                <w:i w:val="0"/>
                <w:color w:val="000000"/>
                <w:sz w:val="22"/>
                <w:szCs w:val="22"/>
                <w:u w:val="none"/>
              </w:rPr>
            </w:pPr>
          </w:p>
        </w:tc>
        <w:tc>
          <w:tcPr>
            <w:tcW w:w="80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制表人：</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005FDE"/>
    <w:rsid w:val="24CF33D1"/>
    <w:rsid w:val="4F66539E"/>
    <w:rsid w:val="79574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6"/>
      <w:szCs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2022-03-03T02:50:16Z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04EE4D66935649DEA9145A1D6E890AD7</vt:lpwstr>
  </property>
</Properties>
</file>