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F22A2">
      <w:pPr>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武汉市洪山区供销合作社联合社</w:t>
      </w:r>
      <w:r>
        <w:rPr>
          <w:rFonts w:hint="eastAsia" w:ascii="仿宋" w:hAnsi="仿宋" w:eastAsia="仿宋" w:cs="仿宋"/>
          <w:b w:val="0"/>
          <w:bCs w:val="0"/>
          <w:sz w:val="36"/>
          <w:szCs w:val="36"/>
        </w:rPr>
        <w:t>项目支出绩效自评</w:t>
      </w:r>
    </w:p>
    <w:p w14:paraId="5FD134B4">
      <w:pPr>
        <w:jc w:val="center"/>
        <w:rPr>
          <w:rFonts w:hint="eastAsia" w:ascii="仿宋" w:hAnsi="仿宋" w:eastAsia="仿宋" w:cs="仿宋"/>
          <w:b w:val="0"/>
          <w:bCs w:val="0"/>
          <w:sz w:val="36"/>
          <w:szCs w:val="36"/>
        </w:rPr>
      </w:pPr>
      <w:r>
        <w:rPr>
          <w:rFonts w:hint="eastAsia" w:ascii="仿宋" w:hAnsi="仿宋" w:eastAsia="仿宋" w:cs="仿宋"/>
          <w:b w:val="0"/>
          <w:bCs w:val="0"/>
          <w:sz w:val="36"/>
          <w:szCs w:val="36"/>
        </w:rPr>
        <w:t>报告</w:t>
      </w:r>
    </w:p>
    <w:p w14:paraId="1B8CC91B">
      <w:pPr>
        <w:jc w:val="center"/>
        <w:rPr>
          <w:rFonts w:hint="eastAsia" w:ascii="仿宋" w:hAnsi="仿宋" w:eastAsia="仿宋" w:cs="仿宋"/>
          <w:b w:val="0"/>
          <w:bCs w:val="0"/>
          <w:sz w:val="36"/>
          <w:szCs w:val="36"/>
        </w:rPr>
      </w:pPr>
    </w:p>
    <w:p w14:paraId="0C239B12">
      <w:pPr>
        <w:jc w:val="center"/>
        <w:rPr>
          <w:rFonts w:hint="eastAsia" w:ascii="仿宋" w:hAnsi="仿宋" w:eastAsia="仿宋" w:cs="仿宋"/>
          <w:b w:val="0"/>
          <w:bCs w:val="0"/>
          <w:sz w:val="36"/>
          <w:szCs w:val="36"/>
        </w:rPr>
      </w:pPr>
    </w:p>
    <w:p w14:paraId="27C08296">
      <w:pPr>
        <w:numPr>
          <w:ilvl w:val="0"/>
          <w:numId w:val="0"/>
        </w:numPr>
        <w:ind w:firstLine="300" w:firstLineChars="100"/>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一、</w:t>
      </w:r>
      <w:r>
        <w:rPr>
          <w:rFonts w:hint="eastAsia" w:ascii="仿宋" w:hAnsi="仿宋" w:eastAsia="仿宋" w:cs="仿宋"/>
          <w:b w:val="0"/>
          <w:bCs w:val="0"/>
          <w:sz w:val="30"/>
          <w:szCs w:val="30"/>
          <w:lang w:eastAsia="zh-CN"/>
        </w:rPr>
        <w:t>武汉市洪山区供销合作社联合社</w:t>
      </w:r>
      <w:r>
        <w:rPr>
          <w:rFonts w:hint="eastAsia" w:ascii="仿宋" w:hAnsi="仿宋" w:eastAsia="仿宋" w:cs="仿宋"/>
          <w:b w:val="0"/>
          <w:bCs w:val="0"/>
          <w:sz w:val="30"/>
          <w:szCs w:val="30"/>
        </w:rPr>
        <w:t>项目支出</w:t>
      </w:r>
      <w:r>
        <w:rPr>
          <w:rFonts w:hint="eastAsia" w:ascii="仿宋" w:hAnsi="仿宋" w:eastAsia="仿宋" w:cs="仿宋"/>
          <w:b w:val="0"/>
          <w:bCs w:val="0"/>
          <w:sz w:val="30"/>
          <w:szCs w:val="30"/>
          <w:lang w:eastAsia="zh-CN"/>
        </w:rPr>
        <w:t>使用情况：</w:t>
      </w:r>
    </w:p>
    <w:p w14:paraId="2262657E">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1.离退休人员维稳经费4.45万，执行率97.8%。有效解决了离退休人员体检等经费支出。</w:t>
      </w:r>
    </w:p>
    <w:p w14:paraId="1092B66C">
      <w:pPr>
        <w:numPr>
          <w:ilvl w:val="0"/>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再生资源长效工作管理经费50.96万，执行率97.99%。为建立长效的再生资源工作管理机制，建立工作补贴机制，给全区182个社区协管员以每月200元标准按季发放工作补贴。规范回收站点经营秩序，对10家回收站点进行提档升级。开展各级管理人员及储备干部的培训；加强对2019年文明军运会的宣传。良好的完成了年初绩效目标。</w:t>
      </w:r>
    </w:p>
    <w:p w14:paraId="7CC7BA0C">
      <w:pPr>
        <w:numPr>
          <w:ilvl w:val="0"/>
          <w:numId w:val="0"/>
        </w:numPr>
        <w:ind w:firstLine="900" w:firstLineChars="3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再生资源网点经营管理费用5.56万，执行率77%，在全区内举办相关的培训会，规范回收站点经营秩序，加强工作人员管理培训，通过建立工作补贴机制来促进长效再生资源工作管理机制的建立，促进社区卫生整洁、回收站点文明经营。较好的完成年初制定的绩效目标。</w:t>
      </w:r>
    </w:p>
    <w:p w14:paraId="7CF48CB1">
      <w:pPr>
        <w:numPr>
          <w:ilvl w:val="0"/>
          <w:numId w:val="0"/>
        </w:numPr>
        <w:ind w:firstLine="900" w:firstLineChars="3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4.综治工作经费3.18万，执行率80%，根据洪山区社会治安综合治理委员会关于印发《洪山区社会治安综合治理委员会综治联系点工作实施办法》的通知，对管辖区域做好综治工作。较好的完成绩效目标。</w:t>
      </w:r>
    </w:p>
    <w:p w14:paraId="51CE9764">
      <w:pPr>
        <w:numPr>
          <w:ilvl w:val="0"/>
          <w:numId w:val="0"/>
        </w:numPr>
        <w:ind w:firstLine="900" w:firstLineChars="3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5.聘请法律顾问经费0万，执行率0%，由于对应的律师事务所未及时开具发票，导致年末该笔款项未付，后续单位各科室应加强沟通，加强事后控制，科学制定绩效目标。</w:t>
      </w:r>
    </w:p>
    <w:p w14:paraId="0AF01F1D">
      <w:pPr>
        <w:numPr>
          <w:ilvl w:val="0"/>
          <w:numId w:val="0"/>
        </w:numPr>
        <w:ind w:firstLine="900" w:firstLineChars="3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物流企业重点项目扶持1.23万，执行率41%，为落实《洪山区国民经济和社会发展第十三个五年规划纲要（2016年—2020年）》发展战略，以《物流业发展中长期规划（2014-2020年）》（国发〔2014〕42号）、《交通运输部关于推进供给侧结构性改革 促进物流业“降本增效”的若干意见》（交规划发[2016]147号）等文件为指导，以构建适应洪山区经济发展的现代物流体系，积极服务国内一流的大学之城和武汉创新驱动的核心动力区建设为目标，提高洪山区物流业基础供给和保障能力，推动物流与产业的深度融合发展，支持经济创新发展和现代化经济体系建设，聘请专业团队编制洪山区物流业发展中长期规划。相关绩效目标完成比较好。</w:t>
      </w:r>
    </w:p>
    <w:p w14:paraId="4F7F98BB">
      <w:pPr>
        <w:numPr>
          <w:ilvl w:val="0"/>
          <w:numId w:val="0"/>
        </w:numPr>
        <w:ind w:firstLine="900" w:firstLineChars="3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7.物流建档调查员经费3.84万，100%执行，为完善在职人员培训体系、提高物流业从业人员业务水平，参与全国各地物流行业相关培训；为组织建设物流公共信息平台，编制物流规划</w:t>
      </w:r>
      <w:bookmarkStart w:id="0" w:name="_GoBack"/>
      <w:bookmarkEnd w:id="0"/>
      <w:r>
        <w:rPr>
          <w:rFonts w:hint="eastAsia" w:ascii="仿宋" w:hAnsi="仿宋" w:eastAsia="仿宋" w:cs="仿宋"/>
          <w:b w:val="0"/>
          <w:bCs w:val="0"/>
          <w:sz w:val="30"/>
          <w:szCs w:val="30"/>
          <w:lang w:val="en-US" w:eastAsia="zh-CN"/>
        </w:rPr>
        <w:t>、制度促进改革提供提供重要数据信息依据，走访辖区内物流企业、建立及更新重点物流企业档案。</w:t>
      </w:r>
    </w:p>
    <w:p w14:paraId="3A40688C">
      <w:pPr>
        <w:numPr>
          <w:ilvl w:val="0"/>
          <w:numId w:val="0"/>
        </w:numPr>
        <w:ind w:firstLine="900" w:firstLineChars="300"/>
        <w:jc w:val="left"/>
        <w:rPr>
          <w:rFonts w:hint="eastAsia" w:ascii="仿宋" w:hAnsi="仿宋" w:eastAsia="仿宋" w:cs="仿宋"/>
          <w:b w:val="0"/>
          <w:bCs w:val="0"/>
          <w:sz w:val="30"/>
          <w:szCs w:val="30"/>
          <w:lang w:val="en-US" w:eastAsia="zh-CN"/>
        </w:rPr>
      </w:pPr>
    </w:p>
    <w:p w14:paraId="6F80925E">
      <w:pPr>
        <w:numPr>
          <w:ilvl w:val="0"/>
          <w:numId w:val="0"/>
        </w:numPr>
        <w:ind w:firstLine="900" w:firstLineChars="300"/>
        <w:jc w:val="left"/>
        <w:rPr>
          <w:rFonts w:hint="eastAsia" w:ascii="仿宋" w:hAnsi="仿宋" w:eastAsia="仿宋" w:cs="仿宋"/>
          <w:b w:val="0"/>
          <w:bCs w:val="0"/>
          <w:sz w:val="30"/>
          <w:szCs w:val="30"/>
          <w:lang w:val="en-US" w:eastAsia="zh-CN"/>
        </w:rPr>
      </w:pPr>
    </w:p>
    <w:p w14:paraId="255EDBB3">
      <w:pPr>
        <w:numPr>
          <w:ilvl w:val="0"/>
          <w:numId w:val="1"/>
        </w:numPr>
        <w:ind w:firstLine="900" w:firstLineChars="3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洪山区预算项目支出绩效自评表</w:t>
      </w:r>
    </w:p>
    <w:p w14:paraId="5162F179">
      <w:pPr>
        <w:numPr>
          <w:ilvl w:val="0"/>
          <w:numId w:val="0"/>
        </w:numPr>
        <w:jc w:val="left"/>
      </w:pPr>
      <w:r>
        <w:drawing>
          <wp:inline distT="0" distB="0" distL="114300" distR="114300">
            <wp:extent cx="5269230" cy="580199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801995"/>
                    </a:xfrm>
                    <a:prstGeom prst="rect">
                      <a:avLst/>
                    </a:prstGeom>
                    <a:noFill/>
                    <a:ln>
                      <a:noFill/>
                    </a:ln>
                  </pic:spPr>
                </pic:pic>
              </a:graphicData>
            </a:graphic>
          </wp:inline>
        </w:drawing>
      </w:r>
    </w:p>
    <w:p w14:paraId="257CFAFD">
      <w:pPr>
        <w:numPr>
          <w:ilvl w:val="0"/>
          <w:numId w:val="0"/>
        </w:numPr>
        <w:jc w:val="left"/>
        <w:rPr>
          <w:rFonts w:hint="eastAsia"/>
          <w:lang w:val="en-US" w:eastAsia="zh-CN"/>
        </w:rPr>
      </w:pPr>
      <w:r>
        <w:drawing>
          <wp:inline distT="0" distB="0" distL="114300" distR="114300">
            <wp:extent cx="5269230" cy="583946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5839460"/>
                    </a:xfrm>
                    <a:prstGeom prst="rect">
                      <a:avLst/>
                    </a:prstGeom>
                    <a:noFill/>
                    <a:ln>
                      <a:noFill/>
                    </a:ln>
                  </pic:spPr>
                </pic:pic>
              </a:graphicData>
            </a:graphic>
          </wp:inline>
        </w:drawing>
      </w:r>
      <w:r>
        <w:drawing>
          <wp:inline distT="0" distB="0" distL="114300" distR="114300">
            <wp:extent cx="5269230" cy="5801995"/>
            <wp:effectExtent l="0" t="0" r="762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230" cy="5801995"/>
                    </a:xfrm>
                    <a:prstGeom prst="rect">
                      <a:avLst/>
                    </a:prstGeom>
                    <a:noFill/>
                    <a:ln>
                      <a:noFill/>
                    </a:ln>
                  </pic:spPr>
                </pic:pic>
              </a:graphicData>
            </a:graphic>
          </wp:inline>
        </w:drawing>
      </w:r>
      <w:r>
        <w:drawing>
          <wp:inline distT="0" distB="0" distL="114300" distR="114300">
            <wp:extent cx="5269230" cy="5801995"/>
            <wp:effectExtent l="0" t="0" r="762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230" cy="5801995"/>
                    </a:xfrm>
                    <a:prstGeom prst="rect">
                      <a:avLst/>
                    </a:prstGeom>
                    <a:noFill/>
                    <a:ln>
                      <a:noFill/>
                    </a:ln>
                  </pic:spPr>
                </pic:pic>
              </a:graphicData>
            </a:graphic>
          </wp:inline>
        </w:drawing>
      </w:r>
      <w:r>
        <w:drawing>
          <wp:inline distT="0" distB="0" distL="114300" distR="114300">
            <wp:extent cx="5269230" cy="5801995"/>
            <wp:effectExtent l="0" t="0" r="762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9230" cy="5801995"/>
                    </a:xfrm>
                    <a:prstGeom prst="rect">
                      <a:avLst/>
                    </a:prstGeom>
                    <a:noFill/>
                    <a:ln>
                      <a:noFill/>
                    </a:ln>
                  </pic:spPr>
                </pic:pic>
              </a:graphicData>
            </a:graphic>
          </wp:inline>
        </w:drawing>
      </w:r>
      <w:r>
        <w:drawing>
          <wp:inline distT="0" distB="0" distL="114300" distR="114300">
            <wp:extent cx="5269230" cy="577215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9230" cy="5772150"/>
                    </a:xfrm>
                    <a:prstGeom prst="rect">
                      <a:avLst/>
                    </a:prstGeom>
                    <a:noFill/>
                    <a:ln>
                      <a:noFill/>
                    </a:ln>
                  </pic:spPr>
                </pic:pic>
              </a:graphicData>
            </a:graphic>
          </wp:inline>
        </w:drawing>
      </w:r>
      <w:r>
        <w:drawing>
          <wp:inline distT="0" distB="0" distL="114300" distR="114300">
            <wp:extent cx="5269230" cy="5801995"/>
            <wp:effectExtent l="0" t="0" r="762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9230" cy="580199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FF316"/>
    <w:multiLevelType w:val="singleLevel"/>
    <w:tmpl w:val="DF4FF31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547A2"/>
    <w:rsid w:val="3F023B58"/>
    <w:rsid w:val="7505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917</Words>
  <Characters>996</Characters>
  <Lines>0</Lines>
  <Paragraphs>0</Paragraphs>
  <TotalTime>29</TotalTime>
  <ScaleCrop>false</ScaleCrop>
  <LinksUpToDate>false</LinksUpToDate>
  <CharactersWithSpaces>1007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2019-06-04T08:14:00Z</dcterms:created>
  <dc:creator>布林紫樱</dc:creator>
  <cp:lastModifiedBy>晚梨花下客</cp:lastModifiedBy>
  <dcterms:modified xsi:type="dcterms:W3CDTF">2025-03-19T01:13:18Z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eyJoZGlkIjoiNmIzNjhhZmI0ZjUxODIyZTE0MmIyZTE1OWU1NzEwOTYiLCJ1c2VySWQiOiIzNzA1MjMzNTIifQ==</vt:lpwstr>
  </property>
  <property fmtid="{D5CDD505-2E9C-101B-9397-08002B2CF9AE}" pid="4" name="ICV">
    <vt:lpwstr>391B30939F1E46128097814B39692130_12</vt:lpwstr>
  </property>
</Properties>
</file>