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B5D422">
      <w:pPr>
        <w:spacing w:line="360" w:lineRule="auto"/>
        <w:rPr>
          <w:rFonts w:ascii="Arial Narrow" w:hAnsi="Arial Narrow" w:cs="Arial Narrow"/>
          <w:bCs/>
          <w:sz w:val="24"/>
        </w:rPr>
      </w:pPr>
      <w:r>
        <w:rPr>
          <w:rFonts w:ascii="Arial Narrow" w:hAnsi="Arial Narrow" w:cs="Arial Narrow"/>
          <w:bCs/>
          <w:sz w:val="24"/>
        </w:rPr>
        <w:t>附件2</w:t>
      </w:r>
    </w:p>
    <w:p w14:paraId="3197FC1C">
      <w:pPr>
        <w:spacing w:line="360" w:lineRule="auto"/>
        <w:jc w:val="center"/>
        <w:rPr>
          <w:rFonts w:ascii="Arial Narrow" w:hAnsi="Arial Narrow" w:cs="Arial Narrow"/>
          <w:bCs/>
          <w:sz w:val="24"/>
        </w:rPr>
      </w:pPr>
    </w:p>
    <w:p w14:paraId="2EAF9D42">
      <w:pPr>
        <w:spacing w:line="360" w:lineRule="auto"/>
        <w:jc w:val="center"/>
        <w:rPr>
          <w:rFonts w:ascii="Arial Narrow" w:hAnsi="Arial Narrow" w:cs="Arial Narrow"/>
          <w:b/>
          <w:sz w:val="36"/>
          <w:szCs w:val="36"/>
        </w:rPr>
      </w:pPr>
      <w:r>
        <w:rPr>
          <w:rFonts w:ascii="Arial Narrow" w:hAnsi="Arial Narrow" w:cs="Arial Narrow"/>
          <w:b/>
          <w:sz w:val="44"/>
          <w:szCs w:val="44"/>
        </w:rPr>
        <w:t>2019年度项目支出绩效自评报告</w:t>
      </w:r>
    </w:p>
    <w:p w14:paraId="2230B3B6">
      <w:pPr>
        <w:spacing w:line="360" w:lineRule="auto"/>
        <w:ind w:firstLine="480" w:firstLineChars="200"/>
        <w:rPr>
          <w:rFonts w:ascii="Arial Narrow" w:hAnsi="Arial Narrow" w:cs="Arial Narrow"/>
          <w:bCs/>
          <w:sz w:val="24"/>
        </w:rPr>
      </w:pPr>
    </w:p>
    <w:p w14:paraId="416B1293">
      <w:pPr>
        <w:spacing w:line="360" w:lineRule="auto"/>
        <w:ind w:firstLine="602" w:firstLineChars="200"/>
        <w:rPr>
          <w:rFonts w:ascii="Arial Narrow" w:hAnsi="Arial Narrow" w:cs="Arial Narrow"/>
          <w:b/>
          <w:szCs w:val="30"/>
        </w:rPr>
      </w:pPr>
      <w:r>
        <w:rPr>
          <w:rFonts w:ascii="Arial Narrow" w:hAnsi="Arial Narrow" w:cs="Arial Narrow"/>
          <w:b/>
          <w:szCs w:val="30"/>
        </w:rPr>
        <w:t>一、绩效自评工作开展情况</w:t>
      </w:r>
    </w:p>
    <w:p w14:paraId="43B479DA">
      <w:pPr>
        <w:spacing w:line="360" w:lineRule="auto"/>
        <w:ind w:firstLine="480" w:firstLineChars="200"/>
        <w:rPr>
          <w:rFonts w:ascii="Arial Narrow" w:hAnsi="Arial Narrow" w:cs="Arial Narrow"/>
          <w:sz w:val="24"/>
        </w:rPr>
      </w:pP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依据《区财政局关于开展2019年度财政支出预算执行情况绩效自评工作的通知》，对本单位2019年度</w:t>
      </w:r>
      <w:r>
        <w:rPr>
          <w:rFonts w:hint="eastAsia" w:ascii="Arial Narrow" w:hAnsi="Arial Narrow" w:cs="Arial Narrow"/>
          <w:sz w:val="24"/>
        </w:rPr>
        <w:t>合并的</w:t>
      </w:r>
      <w:r>
        <w:rPr>
          <w:rFonts w:ascii="Arial Narrow" w:hAnsi="Arial Narrow" w:cs="Arial Narrow"/>
          <w:sz w:val="24"/>
        </w:rPr>
        <w:t>4个项目开展了自评，</w:t>
      </w:r>
      <w:r>
        <w:rPr>
          <w:rFonts w:ascii="Arial Narrow" w:hAnsi="Arial Narrow" w:cs="Arial Narrow"/>
          <w:bCs/>
          <w:sz w:val="24"/>
        </w:rPr>
        <w:t xml:space="preserve">涉及预算资金6,324.26 </w:t>
      </w:r>
      <w:r>
        <w:rPr>
          <w:rFonts w:hint="eastAsia" w:ascii="Arial Narrow" w:hAnsi="Arial Narrow" w:cs="Arial Narrow"/>
          <w:bCs/>
          <w:sz w:val="24"/>
        </w:rPr>
        <w:t>万</w:t>
      </w:r>
      <w:r>
        <w:rPr>
          <w:rFonts w:ascii="Arial Narrow" w:hAnsi="Arial Narrow" w:cs="Arial Narrow"/>
          <w:bCs/>
          <w:sz w:val="24"/>
        </w:rPr>
        <w:t>元，自评覆盖率达到100%。</w:t>
      </w:r>
      <w:r>
        <w:rPr>
          <w:rFonts w:ascii="Arial Narrow" w:hAnsi="Arial Narrow" w:cs="Arial Narrow"/>
          <w:sz w:val="24"/>
        </w:rPr>
        <w:t>自评实施步骤如下：</w:t>
      </w:r>
    </w:p>
    <w:p w14:paraId="7DB381F9">
      <w:pPr>
        <w:spacing w:line="360" w:lineRule="auto"/>
        <w:ind w:firstLine="480" w:firstLineChars="200"/>
        <w:rPr>
          <w:rFonts w:ascii="Arial Narrow" w:hAnsi="Arial Narrow" w:cs="Arial Narrow"/>
          <w:sz w:val="24"/>
        </w:rPr>
      </w:pPr>
      <w:r>
        <w:rPr>
          <w:rFonts w:ascii="Arial Narrow" w:hAnsi="Arial Narrow" w:cs="Arial Narrow"/>
          <w:sz w:val="24"/>
        </w:rPr>
        <w:t>（1）以2019年部门决算为依据，与财政部门对账，确保项目经费数据真实准确，并对2019年支出项目进行同类项合并，或按照部门预算一级项目进行合并，以合并后的项目为基础开展自评工作。</w:t>
      </w:r>
    </w:p>
    <w:p w14:paraId="6A8E2F3B">
      <w:pPr>
        <w:spacing w:line="360" w:lineRule="auto"/>
        <w:ind w:firstLine="480" w:firstLineChars="200"/>
        <w:rPr>
          <w:rFonts w:ascii="Arial Narrow" w:hAnsi="Arial Narrow" w:cs="Arial Narrow"/>
          <w:sz w:val="24"/>
        </w:rPr>
      </w:pPr>
      <w:r>
        <w:rPr>
          <w:rFonts w:ascii="Arial Narrow" w:hAnsi="Arial Narrow" w:cs="Arial Narrow"/>
          <w:sz w:val="24"/>
        </w:rPr>
        <w:t>（2）制定</w:t>
      </w:r>
      <w:r>
        <w:rPr>
          <w:rFonts w:hint="eastAsia" w:ascii="Arial Narrow" w:hAnsi="Arial Narrow" w:cs="Arial Narrow"/>
          <w:sz w:val="24"/>
        </w:rPr>
        <w:t>《洪山区交通大队</w:t>
      </w:r>
      <w:r>
        <w:rPr>
          <w:rFonts w:ascii="Arial Narrow" w:hAnsi="Arial Narrow" w:cs="Arial Narrow"/>
          <w:sz w:val="24"/>
        </w:rPr>
        <w:t>绩效自评工作方案</w:t>
      </w:r>
      <w:r>
        <w:rPr>
          <w:rFonts w:hint="eastAsia" w:ascii="Arial Narrow" w:hAnsi="Arial Narrow" w:cs="Arial Narrow"/>
          <w:sz w:val="24"/>
        </w:rPr>
        <w:t>》</w:t>
      </w:r>
      <w:r>
        <w:rPr>
          <w:rFonts w:ascii="Arial Narrow" w:hAnsi="Arial Narrow" w:cs="Arial Narrow"/>
          <w:sz w:val="24"/>
        </w:rPr>
        <w:t>，工作方案包括</w:t>
      </w:r>
      <w:r>
        <w:rPr>
          <w:rFonts w:hint="eastAsia" w:ascii="Arial Narrow" w:hAnsi="Arial Narrow" w:cs="Arial Narrow"/>
          <w:sz w:val="24"/>
        </w:rPr>
        <w:t>绩效自评方法、自评原则、时间安排</w:t>
      </w:r>
      <w:r>
        <w:rPr>
          <w:rFonts w:ascii="Arial Narrow" w:hAnsi="Arial Narrow" w:cs="Arial Narrow"/>
          <w:sz w:val="24"/>
        </w:rPr>
        <w:t>等。</w:t>
      </w:r>
    </w:p>
    <w:p w14:paraId="6BB6DB59">
      <w:pPr>
        <w:spacing w:line="360" w:lineRule="auto"/>
        <w:ind w:firstLine="480" w:firstLineChars="200"/>
        <w:rPr>
          <w:rFonts w:ascii="Arial Narrow" w:hAnsi="Arial Narrow" w:cs="Arial Narrow"/>
          <w:sz w:val="24"/>
        </w:rPr>
      </w:pPr>
      <w:r>
        <w:rPr>
          <w:rFonts w:ascii="Arial Narrow" w:hAnsi="Arial Narrow" w:cs="Arial Narrow"/>
          <w:sz w:val="24"/>
        </w:rPr>
        <w:t>（3）根据制定的</w:t>
      </w:r>
      <w:r>
        <w:rPr>
          <w:rFonts w:hint="eastAsia" w:ascii="Arial Narrow" w:hAnsi="Arial Narrow" w:cs="Arial Narrow"/>
          <w:sz w:val="24"/>
        </w:rPr>
        <w:t>《洪山区交通大队</w:t>
      </w:r>
      <w:r>
        <w:rPr>
          <w:rFonts w:ascii="Arial Narrow" w:hAnsi="Arial Narrow" w:cs="Arial Narrow"/>
          <w:sz w:val="24"/>
        </w:rPr>
        <w:t>绩效自评工作方案</w:t>
      </w:r>
      <w:r>
        <w:rPr>
          <w:rFonts w:hint="eastAsia" w:ascii="Arial Narrow" w:hAnsi="Arial Narrow" w:cs="Arial Narrow"/>
          <w:sz w:val="24"/>
        </w:rPr>
        <w:t>》</w:t>
      </w:r>
      <w:r>
        <w:rPr>
          <w:rFonts w:ascii="Arial Narrow" w:hAnsi="Arial Narrow" w:cs="Arial Narrow"/>
          <w:sz w:val="24"/>
        </w:rPr>
        <w:t>，了解各个项目绩效指标完成情况及预算资金执行情况，收集相关证明资料，并对收集的资料运用科学的方法进行综合分析。</w:t>
      </w:r>
    </w:p>
    <w:p w14:paraId="6109DB44">
      <w:pPr>
        <w:spacing w:line="360" w:lineRule="auto"/>
        <w:ind w:firstLine="480" w:firstLineChars="200"/>
        <w:rPr>
          <w:rFonts w:ascii="Arial Narrow" w:hAnsi="Arial Narrow" w:cs="Arial Narrow"/>
          <w:sz w:val="24"/>
        </w:rPr>
      </w:pPr>
      <w:r>
        <w:rPr>
          <w:rFonts w:ascii="Arial Narrow" w:hAnsi="Arial Narrow" w:cs="Arial Narrow"/>
          <w:sz w:val="24"/>
        </w:rPr>
        <w:t>（4）根据分析后的情况评分，形成综合评价结果，将评价结果纳入已确定的各项指标临界区间进行比较，确定绩效自评等级（优、良、中、差）。</w:t>
      </w:r>
    </w:p>
    <w:p w14:paraId="522DBC4F">
      <w:pPr>
        <w:spacing w:line="360" w:lineRule="auto"/>
        <w:ind w:firstLine="480" w:firstLineChars="200"/>
        <w:rPr>
          <w:rFonts w:ascii="Arial Narrow" w:hAnsi="Arial Narrow" w:cs="Arial Narrow"/>
          <w:sz w:val="24"/>
        </w:rPr>
      </w:pPr>
      <w:r>
        <w:rPr>
          <w:rFonts w:ascii="Arial Narrow" w:hAnsi="Arial Narrow" w:cs="Arial Narrow"/>
          <w:sz w:val="24"/>
        </w:rPr>
        <w:t>（5）撰写绩效自评综合报告，阐明各个项目基本情况、自评分析及自评结果、自评等级、项目执行过程中出现的问题及建议等，并按时上交洪山区财政局。</w:t>
      </w:r>
    </w:p>
    <w:p w14:paraId="3F9DFF29">
      <w:pPr>
        <w:spacing w:line="360" w:lineRule="auto"/>
        <w:ind w:firstLine="602" w:firstLineChars="200"/>
        <w:rPr>
          <w:rFonts w:ascii="Arial Narrow" w:hAnsi="Arial Narrow" w:cs="Arial Narrow"/>
          <w:b/>
          <w:sz w:val="32"/>
          <w:szCs w:val="32"/>
          <w:highlight w:val="green"/>
        </w:rPr>
      </w:pPr>
      <w:r>
        <w:rPr>
          <w:rFonts w:ascii="Arial Narrow" w:hAnsi="Arial Narrow" w:cs="Arial Narrow"/>
          <w:b/>
          <w:szCs w:val="30"/>
        </w:rPr>
        <w:t>二、本报告包含项目的自评结果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223"/>
        <w:gridCol w:w="1568"/>
        <w:gridCol w:w="1964"/>
        <w:gridCol w:w="845"/>
        <w:gridCol w:w="1226"/>
      </w:tblGrid>
      <w:tr w14:paraId="74F9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B52A748">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序号</w:t>
            </w:r>
          </w:p>
        </w:tc>
        <w:tc>
          <w:tcPr>
            <w:tcW w:w="2223" w:type="dxa"/>
            <w:vAlign w:val="center"/>
          </w:tcPr>
          <w:p w14:paraId="1CE83167">
            <w:pPr>
              <w:spacing w:line="360" w:lineRule="auto"/>
              <w:jc w:val="center"/>
              <w:rPr>
                <w:rFonts w:ascii="Arial Narrow" w:hAnsi="Arial Narrow" w:cs="Arial Narrow"/>
                <w:bCs/>
                <w:sz w:val="21"/>
                <w:szCs w:val="21"/>
              </w:rPr>
            </w:pPr>
            <w:r>
              <w:rPr>
                <w:rFonts w:hint="eastAsia" w:ascii="Arial Narrow" w:hAnsi="Arial Narrow" w:cs="Arial Narrow"/>
                <w:bCs/>
                <w:sz w:val="21"/>
                <w:szCs w:val="21"/>
              </w:rPr>
              <w:t>项目名称</w:t>
            </w:r>
          </w:p>
        </w:tc>
        <w:tc>
          <w:tcPr>
            <w:tcW w:w="1568" w:type="dxa"/>
            <w:vAlign w:val="center"/>
          </w:tcPr>
          <w:p w14:paraId="12BBF165">
            <w:pPr>
              <w:spacing w:line="360" w:lineRule="auto"/>
              <w:jc w:val="center"/>
              <w:rPr>
                <w:rFonts w:ascii="Arial Narrow" w:hAnsi="Arial Narrow" w:cs="Arial Narrow"/>
                <w:bCs/>
                <w:sz w:val="21"/>
                <w:szCs w:val="21"/>
              </w:rPr>
            </w:pPr>
            <w:r>
              <w:rPr>
                <w:rFonts w:hint="eastAsia" w:ascii="Arial Narrow" w:hAnsi="Arial Narrow" w:cs="Arial Narrow"/>
                <w:bCs/>
                <w:sz w:val="21"/>
                <w:szCs w:val="21"/>
              </w:rPr>
              <w:t>预算数（万元）</w:t>
            </w:r>
          </w:p>
        </w:tc>
        <w:tc>
          <w:tcPr>
            <w:tcW w:w="1964" w:type="dxa"/>
            <w:vAlign w:val="center"/>
          </w:tcPr>
          <w:p w14:paraId="4F287347">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全年执行数（万元）</w:t>
            </w:r>
          </w:p>
        </w:tc>
        <w:tc>
          <w:tcPr>
            <w:tcW w:w="845" w:type="dxa"/>
            <w:vAlign w:val="center"/>
          </w:tcPr>
          <w:p w14:paraId="5DDB3E7D">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得分</w:t>
            </w:r>
          </w:p>
        </w:tc>
        <w:tc>
          <w:tcPr>
            <w:tcW w:w="1226" w:type="dxa"/>
            <w:vAlign w:val="center"/>
          </w:tcPr>
          <w:p w14:paraId="3EF91721">
            <w:pPr>
              <w:spacing w:line="360" w:lineRule="auto"/>
              <w:jc w:val="center"/>
              <w:rPr>
                <w:rFonts w:ascii="Arial Narrow" w:hAnsi="Arial Narrow" w:cs="Arial Narrow"/>
                <w:bCs/>
                <w:sz w:val="21"/>
                <w:szCs w:val="21"/>
              </w:rPr>
            </w:pPr>
            <w:r>
              <w:rPr>
                <w:rFonts w:hint="eastAsia" w:ascii="Arial Narrow" w:hAnsi="Arial Narrow" w:cs="Arial Narrow"/>
                <w:bCs/>
                <w:sz w:val="21"/>
                <w:szCs w:val="21"/>
              </w:rPr>
              <w:t>自评等级</w:t>
            </w:r>
          </w:p>
        </w:tc>
      </w:tr>
      <w:tr w14:paraId="4C62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4287224">
            <w:pPr>
              <w:spacing w:line="360" w:lineRule="auto"/>
              <w:jc w:val="center"/>
              <w:rPr>
                <w:rFonts w:ascii="Arial Narrow" w:hAnsi="Arial Narrow" w:cs="Arial Narrow"/>
                <w:bCs/>
                <w:sz w:val="21"/>
                <w:szCs w:val="21"/>
              </w:rPr>
            </w:pPr>
            <w:r>
              <w:rPr>
                <w:rFonts w:hint="eastAsia" w:ascii="Arial Narrow" w:hAnsi="Arial Narrow" w:cs="Arial Narrow"/>
                <w:bCs/>
                <w:sz w:val="21"/>
                <w:szCs w:val="21"/>
              </w:rPr>
              <w:t>1</w:t>
            </w:r>
          </w:p>
        </w:tc>
        <w:tc>
          <w:tcPr>
            <w:tcW w:w="2223" w:type="dxa"/>
            <w:vAlign w:val="center"/>
          </w:tcPr>
          <w:p w14:paraId="6EAF88D8">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党建、文明、机构运行经费</w:t>
            </w:r>
          </w:p>
        </w:tc>
        <w:tc>
          <w:tcPr>
            <w:tcW w:w="1568" w:type="dxa"/>
            <w:vAlign w:val="center"/>
          </w:tcPr>
          <w:p w14:paraId="5F21C865">
            <w:pPr>
              <w:spacing w:line="360" w:lineRule="auto"/>
              <w:jc w:val="center"/>
              <w:rPr>
                <w:rFonts w:ascii="Arial Narrow" w:hAnsi="Arial Narrow" w:cs="Arial Narrow"/>
                <w:bCs/>
                <w:sz w:val="21"/>
                <w:szCs w:val="21"/>
              </w:rPr>
            </w:pPr>
            <w:r>
              <w:rPr>
                <w:rFonts w:ascii="Arial Narrow" w:hAnsi="Arial Narrow" w:cs="Arial Narrow"/>
                <w:bCs/>
                <w:sz w:val="21"/>
                <w:szCs w:val="21"/>
              </w:rPr>
              <w:t>470.18</w:t>
            </w:r>
          </w:p>
        </w:tc>
        <w:tc>
          <w:tcPr>
            <w:tcW w:w="1964" w:type="dxa"/>
            <w:vAlign w:val="center"/>
          </w:tcPr>
          <w:p w14:paraId="2E11A355">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474.26 </w:t>
            </w:r>
          </w:p>
        </w:tc>
        <w:tc>
          <w:tcPr>
            <w:tcW w:w="845" w:type="dxa"/>
            <w:vAlign w:val="center"/>
          </w:tcPr>
          <w:p w14:paraId="75B3C925">
            <w:pPr>
              <w:spacing w:line="360" w:lineRule="auto"/>
              <w:jc w:val="center"/>
              <w:rPr>
                <w:rFonts w:ascii="Arial Narrow" w:hAnsi="Arial Narrow" w:cs="Arial Narrow"/>
                <w:bCs/>
                <w:sz w:val="21"/>
                <w:szCs w:val="21"/>
              </w:rPr>
            </w:pPr>
            <w:r>
              <w:rPr>
                <w:rFonts w:hint="eastAsia" w:ascii="Arial Narrow" w:hAnsi="Arial Narrow" w:cs="Arial Narrow"/>
                <w:bCs/>
                <w:sz w:val="21"/>
                <w:szCs w:val="21"/>
              </w:rPr>
              <w:t>92.00</w:t>
            </w:r>
          </w:p>
        </w:tc>
        <w:tc>
          <w:tcPr>
            <w:tcW w:w="1226" w:type="dxa"/>
            <w:vAlign w:val="center"/>
          </w:tcPr>
          <w:p w14:paraId="0D388568">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14:paraId="3A45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0E3C3B3">
            <w:pPr>
              <w:spacing w:line="360" w:lineRule="auto"/>
              <w:jc w:val="center"/>
              <w:rPr>
                <w:rFonts w:ascii="Arial Narrow" w:hAnsi="Arial Narrow" w:cs="Arial Narrow"/>
                <w:bCs/>
                <w:sz w:val="21"/>
                <w:szCs w:val="21"/>
              </w:rPr>
            </w:pPr>
            <w:r>
              <w:rPr>
                <w:rFonts w:hint="eastAsia" w:ascii="Arial Narrow" w:hAnsi="Arial Narrow" w:cs="Arial Narrow"/>
                <w:bCs/>
                <w:sz w:val="21"/>
                <w:szCs w:val="21"/>
              </w:rPr>
              <w:t>2</w:t>
            </w:r>
          </w:p>
        </w:tc>
        <w:tc>
          <w:tcPr>
            <w:tcW w:w="2223" w:type="dxa"/>
            <w:vAlign w:val="center"/>
          </w:tcPr>
          <w:p w14:paraId="3CD7624D">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办案执法保障经费</w:t>
            </w:r>
          </w:p>
        </w:tc>
        <w:tc>
          <w:tcPr>
            <w:tcW w:w="1568" w:type="dxa"/>
            <w:vAlign w:val="center"/>
          </w:tcPr>
          <w:p w14:paraId="2DE2E743">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4584.08 </w:t>
            </w:r>
          </w:p>
        </w:tc>
        <w:tc>
          <w:tcPr>
            <w:tcW w:w="1964" w:type="dxa"/>
            <w:vAlign w:val="center"/>
          </w:tcPr>
          <w:p w14:paraId="74CEB89F">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4236.00 </w:t>
            </w:r>
          </w:p>
        </w:tc>
        <w:tc>
          <w:tcPr>
            <w:tcW w:w="845" w:type="dxa"/>
            <w:vAlign w:val="center"/>
          </w:tcPr>
          <w:p w14:paraId="398DB050">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93.48 </w:t>
            </w:r>
          </w:p>
        </w:tc>
        <w:tc>
          <w:tcPr>
            <w:tcW w:w="1226" w:type="dxa"/>
            <w:vAlign w:val="center"/>
          </w:tcPr>
          <w:p w14:paraId="0BB1ACFB">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14:paraId="7A6C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96" w:type="dxa"/>
            <w:vAlign w:val="center"/>
          </w:tcPr>
          <w:p w14:paraId="22702514">
            <w:pPr>
              <w:spacing w:line="360" w:lineRule="auto"/>
              <w:jc w:val="center"/>
              <w:rPr>
                <w:rFonts w:ascii="Arial Narrow" w:hAnsi="Arial Narrow" w:cs="Arial Narrow"/>
                <w:bCs/>
                <w:sz w:val="21"/>
                <w:szCs w:val="21"/>
              </w:rPr>
            </w:pPr>
            <w:r>
              <w:rPr>
                <w:rFonts w:hint="eastAsia" w:ascii="Arial Narrow" w:hAnsi="Arial Narrow" w:cs="Arial Narrow"/>
                <w:bCs/>
                <w:sz w:val="21"/>
                <w:szCs w:val="21"/>
              </w:rPr>
              <w:t>3</w:t>
            </w:r>
          </w:p>
        </w:tc>
        <w:tc>
          <w:tcPr>
            <w:tcW w:w="2223" w:type="dxa"/>
            <w:vAlign w:val="center"/>
          </w:tcPr>
          <w:p w14:paraId="434B2FF4">
            <w:pPr>
              <w:spacing w:line="360" w:lineRule="auto"/>
              <w:jc w:val="center"/>
              <w:rPr>
                <w:rFonts w:ascii="Arial Narrow" w:hAnsi="Arial Narrow" w:cs="Arial Narrow"/>
                <w:bCs/>
                <w:sz w:val="21"/>
                <w:szCs w:val="21"/>
              </w:rPr>
            </w:pPr>
            <w:r>
              <w:rPr>
                <w:rFonts w:hint="eastAsia" w:ascii="Arial Narrow" w:hAnsi="Arial Narrow" w:cs="Arial Narrow"/>
                <w:bCs/>
                <w:sz w:val="21"/>
                <w:szCs w:val="21"/>
              </w:rPr>
              <w:t>设施建设维护经费</w:t>
            </w:r>
          </w:p>
        </w:tc>
        <w:tc>
          <w:tcPr>
            <w:tcW w:w="1568" w:type="dxa"/>
            <w:vAlign w:val="center"/>
          </w:tcPr>
          <w:p w14:paraId="367B8C9E">
            <w:pPr>
              <w:spacing w:line="360" w:lineRule="auto"/>
              <w:jc w:val="center"/>
              <w:rPr>
                <w:rFonts w:ascii="Arial Narrow" w:hAnsi="Arial Narrow" w:cs="Arial Narrow"/>
                <w:bCs/>
                <w:sz w:val="21"/>
                <w:szCs w:val="21"/>
              </w:rPr>
            </w:pPr>
            <w:r>
              <w:rPr>
                <w:rFonts w:ascii="Arial Narrow" w:hAnsi="Arial Narrow" w:cs="Arial Narrow"/>
                <w:bCs/>
                <w:sz w:val="21"/>
                <w:szCs w:val="21"/>
              </w:rPr>
              <w:t>1160</w:t>
            </w:r>
            <w:r>
              <w:rPr>
                <w:rFonts w:hint="eastAsia" w:ascii="Arial Narrow" w:hAnsi="Arial Narrow" w:cs="Arial Narrow"/>
                <w:bCs/>
                <w:sz w:val="21"/>
                <w:szCs w:val="21"/>
              </w:rPr>
              <w:t>.00</w:t>
            </w:r>
          </w:p>
        </w:tc>
        <w:tc>
          <w:tcPr>
            <w:tcW w:w="1964" w:type="dxa"/>
            <w:vAlign w:val="center"/>
          </w:tcPr>
          <w:p w14:paraId="3CCE4F3B">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1103.30 </w:t>
            </w:r>
          </w:p>
        </w:tc>
        <w:tc>
          <w:tcPr>
            <w:tcW w:w="845" w:type="dxa"/>
            <w:vAlign w:val="center"/>
          </w:tcPr>
          <w:p w14:paraId="51C26F5C">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92.02 </w:t>
            </w:r>
          </w:p>
        </w:tc>
        <w:tc>
          <w:tcPr>
            <w:tcW w:w="1226" w:type="dxa"/>
            <w:vAlign w:val="center"/>
          </w:tcPr>
          <w:p w14:paraId="2B370FF7">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14:paraId="5A27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3203EFB">
            <w:pPr>
              <w:spacing w:line="360" w:lineRule="auto"/>
              <w:jc w:val="center"/>
              <w:rPr>
                <w:rFonts w:ascii="Arial Narrow" w:hAnsi="Arial Narrow" w:cs="Arial Narrow"/>
                <w:bCs/>
                <w:sz w:val="21"/>
                <w:szCs w:val="21"/>
              </w:rPr>
            </w:pPr>
            <w:r>
              <w:rPr>
                <w:rFonts w:hint="eastAsia" w:ascii="Arial Narrow" w:hAnsi="Arial Narrow" w:cs="Arial Narrow"/>
                <w:bCs/>
                <w:sz w:val="21"/>
                <w:szCs w:val="21"/>
              </w:rPr>
              <w:t>4</w:t>
            </w:r>
          </w:p>
        </w:tc>
        <w:tc>
          <w:tcPr>
            <w:tcW w:w="2223" w:type="dxa"/>
            <w:vAlign w:val="center"/>
          </w:tcPr>
          <w:p w14:paraId="271CD876">
            <w:pPr>
              <w:spacing w:line="360" w:lineRule="auto"/>
              <w:jc w:val="center"/>
              <w:rPr>
                <w:rFonts w:ascii="Arial Narrow" w:hAnsi="Arial Narrow" w:cs="Arial Narrow"/>
                <w:bCs/>
                <w:sz w:val="21"/>
                <w:szCs w:val="21"/>
              </w:rPr>
            </w:pPr>
            <w:r>
              <w:rPr>
                <w:rFonts w:hint="eastAsia" w:ascii="Arial Narrow" w:hAnsi="Arial Narrow" w:cs="Arial Narrow"/>
                <w:bCs/>
                <w:sz w:val="21"/>
                <w:szCs w:val="21"/>
              </w:rPr>
              <w:t>信息化类经费</w:t>
            </w:r>
          </w:p>
        </w:tc>
        <w:tc>
          <w:tcPr>
            <w:tcW w:w="1568" w:type="dxa"/>
            <w:vAlign w:val="center"/>
          </w:tcPr>
          <w:p w14:paraId="18A8DFF7">
            <w:pPr>
              <w:spacing w:line="360" w:lineRule="auto"/>
              <w:jc w:val="center"/>
              <w:rPr>
                <w:rFonts w:ascii="Arial Narrow" w:hAnsi="Arial Narrow" w:cs="Arial Narrow"/>
                <w:bCs/>
                <w:sz w:val="21"/>
                <w:szCs w:val="21"/>
              </w:rPr>
            </w:pPr>
            <w:r>
              <w:rPr>
                <w:rFonts w:ascii="Arial Narrow" w:hAnsi="Arial Narrow" w:cs="Arial Narrow"/>
                <w:bCs/>
                <w:sz w:val="21"/>
                <w:szCs w:val="21"/>
              </w:rPr>
              <w:t>110</w:t>
            </w:r>
            <w:r>
              <w:rPr>
                <w:rFonts w:hint="eastAsia" w:ascii="Arial Narrow" w:hAnsi="Arial Narrow" w:cs="Arial Narrow"/>
                <w:bCs/>
                <w:sz w:val="21"/>
                <w:szCs w:val="21"/>
              </w:rPr>
              <w:t>.00</w:t>
            </w:r>
          </w:p>
        </w:tc>
        <w:tc>
          <w:tcPr>
            <w:tcW w:w="1964" w:type="dxa"/>
            <w:vAlign w:val="center"/>
          </w:tcPr>
          <w:p w14:paraId="21A4C9F1">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64.54 </w:t>
            </w:r>
          </w:p>
        </w:tc>
        <w:tc>
          <w:tcPr>
            <w:tcW w:w="845" w:type="dxa"/>
            <w:vAlign w:val="center"/>
          </w:tcPr>
          <w:p w14:paraId="49E3F9C4">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88.74 </w:t>
            </w:r>
          </w:p>
        </w:tc>
        <w:tc>
          <w:tcPr>
            <w:tcW w:w="1226" w:type="dxa"/>
            <w:vAlign w:val="center"/>
          </w:tcPr>
          <w:p w14:paraId="49F1BE87">
            <w:pPr>
              <w:spacing w:line="360" w:lineRule="auto"/>
              <w:jc w:val="center"/>
              <w:rPr>
                <w:rFonts w:ascii="Arial Narrow" w:hAnsi="Arial Narrow" w:cs="Arial Narrow"/>
                <w:bCs/>
                <w:sz w:val="21"/>
                <w:szCs w:val="21"/>
              </w:rPr>
            </w:pPr>
            <w:r>
              <w:rPr>
                <w:rFonts w:hint="eastAsia" w:ascii="Arial Narrow" w:hAnsi="Arial Narrow" w:cs="Arial Narrow"/>
                <w:bCs/>
                <w:sz w:val="21"/>
                <w:szCs w:val="21"/>
              </w:rPr>
              <w:t>良</w:t>
            </w:r>
          </w:p>
        </w:tc>
      </w:tr>
      <w:tr w14:paraId="4971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9" w:type="dxa"/>
            <w:gridSpan w:val="2"/>
            <w:vAlign w:val="center"/>
          </w:tcPr>
          <w:p w14:paraId="27CC5275">
            <w:pPr>
              <w:spacing w:line="360" w:lineRule="auto"/>
              <w:jc w:val="center"/>
              <w:rPr>
                <w:rFonts w:ascii="Arial Narrow" w:hAnsi="Arial Narrow" w:cs="Arial Narrow"/>
                <w:bCs/>
                <w:sz w:val="21"/>
                <w:szCs w:val="21"/>
              </w:rPr>
            </w:pPr>
            <w:r>
              <w:rPr>
                <w:rFonts w:hint="eastAsia" w:ascii="Arial Narrow" w:hAnsi="Arial Narrow" w:cs="Arial Narrow"/>
                <w:b/>
                <w:sz w:val="21"/>
                <w:szCs w:val="21"/>
              </w:rPr>
              <w:t>合计</w:t>
            </w:r>
          </w:p>
        </w:tc>
        <w:tc>
          <w:tcPr>
            <w:tcW w:w="1568" w:type="dxa"/>
            <w:vAlign w:val="center"/>
          </w:tcPr>
          <w:p w14:paraId="6484266C">
            <w:pPr>
              <w:spacing w:line="360" w:lineRule="auto"/>
              <w:jc w:val="center"/>
              <w:rPr>
                <w:rFonts w:ascii="Arial Narrow" w:hAnsi="Arial Narrow" w:cs="Arial Narrow"/>
                <w:b/>
                <w:sz w:val="21"/>
                <w:szCs w:val="21"/>
              </w:rPr>
            </w:pPr>
            <w:r>
              <w:rPr>
                <w:rFonts w:ascii="Arial Narrow" w:hAnsi="Arial Narrow" w:cs="Arial Narrow"/>
                <w:b/>
                <w:sz w:val="21"/>
                <w:szCs w:val="21"/>
              </w:rPr>
              <w:t xml:space="preserve">6324.26 </w:t>
            </w:r>
          </w:p>
        </w:tc>
        <w:tc>
          <w:tcPr>
            <w:tcW w:w="1964" w:type="dxa"/>
            <w:vAlign w:val="center"/>
          </w:tcPr>
          <w:p w14:paraId="3CC2E7DC">
            <w:pPr>
              <w:spacing w:line="360" w:lineRule="auto"/>
              <w:jc w:val="center"/>
              <w:rPr>
                <w:rFonts w:ascii="Arial Narrow" w:hAnsi="Arial Narrow" w:cs="Arial Narrow"/>
                <w:b/>
                <w:sz w:val="21"/>
                <w:szCs w:val="21"/>
              </w:rPr>
            </w:pPr>
            <w:r>
              <w:rPr>
                <w:rFonts w:ascii="Arial Narrow" w:hAnsi="Arial Narrow" w:cs="Arial Narrow"/>
                <w:b/>
                <w:sz w:val="21"/>
                <w:szCs w:val="21"/>
              </w:rPr>
              <w:t xml:space="preserve">5878.10 </w:t>
            </w:r>
          </w:p>
        </w:tc>
        <w:tc>
          <w:tcPr>
            <w:tcW w:w="845" w:type="dxa"/>
            <w:vAlign w:val="center"/>
          </w:tcPr>
          <w:p w14:paraId="1C45A89C">
            <w:pPr>
              <w:spacing w:line="360" w:lineRule="auto"/>
              <w:jc w:val="center"/>
              <w:rPr>
                <w:rFonts w:ascii="Arial Narrow" w:hAnsi="Arial Narrow" w:cs="Arial Narrow"/>
                <w:b/>
                <w:sz w:val="21"/>
                <w:szCs w:val="21"/>
              </w:rPr>
            </w:pPr>
            <w:r>
              <w:rPr>
                <w:rFonts w:hint="eastAsia" w:ascii="Arial Narrow" w:hAnsi="Arial Narrow" w:cs="Arial Narrow"/>
                <w:b/>
                <w:sz w:val="21"/>
                <w:szCs w:val="21"/>
              </w:rPr>
              <w:t>——</w:t>
            </w:r>
          </w:p>
        </w:tc>
        <w:tc>
          <w:tcPr>
            <w:tcW w:w="1226" w:type="dxa"/>
            <w:vAlign w:val="center"/>
          </w:tcPr>
          <w:p w14:paraId="3762194D">
            <w:pPr>
              <w:spacing w:line="360" w:lineRule="auto"/>
              <w:jc w:val="center"/>
              <w:rPr>
                <w:rFonts w:ascii="Arial Narrow" w:hAnsi="Arial Narrow" w:cs="Arial Narrow"/>
                <w:b/>
                <w:sz w:val="21"/>
                <w:szCs w:val="21"/>
              </w:rPr>
            </w:pPr>
            <w:r>
              <w:rPr>
                <w:rFonts w:hint="eastAsia" w:ascii="Arial Narrow" w:hAnsi="Arial Narrow" w:cs="Arial Narrow"/>
                <w:b/>
                <w:sz w:val="21"/>
                <w:szCs w:val="21"/>
              </w:rPr>
              <w:t>——</w:t>
            </w:r>
          </w:p>
        </w:tc>
      </w:tr>
    </w:tbl>
    <w:p w14:paraId="208AFCDE">
      <w:pPr>
        <w:spacing w:line="360" w:lineRule="auto"/>
        <w:ind w:firstLine="602" w:firstLineChars="200"/>
        <w:rPr>
          <w:rFonts w:ascii="Arial Narrow" w:hAnsi="Arial Narrow" w:cs="Arial Narrow"/>
          <w:b/>
          <w:szCs w:val="30"/>
        </w:rPr>
      </w:pPr>
      <w:r>
        <w:rPr>
          <w:rFonts w:ascii="Arial Narrow" w:hAnsi="Arial Narrow" w:cs="Arial Narrow"/>
          <w:b/>
          <w:szCs w:val="30"/>
        </w:rPr>
        <w:t>三、各项目自评情况</w:t>
      </w:r>
    </w:p>
    <w:p w14:paraId="0F1390A4">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1.</w:t>
      </w:r>
      <w:r>
        <w:rPr>
          <w:rFonts w:hint="eastAsia" w:ascii="Arial Narrow" w:hAnsi="Arial Narrow" w:cs="Arial Narrow"/>
          <w:b/>
          <w:bCs/>
          <w:sz w:val="28"/>
          <w:szCs w:val="28"/>
        </w:rPr>
        <w:t>党建、文明、机构运行经费</w:t>
      </w:r>
    </w:p>
    <w:p w14:paraId="7CA09BB2">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1-1、项目基本情况</w:t>
      </w:r>
    </w:p>
    <w:p w14:paraId="3881FDBE">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6DF02216">
      <w:pPr>
        <w:spacing w:line="360" w:lineRule="auto"/>
        <w:ind w:firstLine="480" w:firstLineChars="200"/>
        <w:outlineLvl w:val="0"/>
        <w:rPr>
          <w:rFonts w:ascii="Arial Narrow" w:hAnsi="Arial Narrow" w:cs="Arial Narrow"/>
          <w:bCs/>
          <w:sz w:val="24"/>
        </w:rPr>
      </w:pPr>
      <w:r>
        <w:rPr>
          <w:rFonts w:hint="eastAsia" w:ascii="Arial Narrow" w:hAnsi="Arial Narrow" w:cs="Arial Narrow"/>
          <w:bCs/>
          <w:sz w:val="24"/>
        </w:rPr>
        <w:t>积极培育和践行社会主义核心价值观，推进精神文明建设，不断加强交警队伍建设，</w:t>
      </w:r>
      <w:r>
        <w:rPr>
          <w:rFonts w:ascii="Arial Narrow" w:hAnsi="Arial Narrow" w:cs="Arial Narrow"/>
          <w:bCs/>
          <w:sz w:val="24"/>
        </w:rPr>
        <w:t>推进洪山交通大队基层党建工作，深化学习领会党中央精神，转变工作作风，以党建促队建，筑牢基层党组织红色堡垒，营造拼搏赶超、履职尽责的良好氛围，打造一支政治素质、业务素质高，对党忠诚、为民服务的队伍。</w:t>
      </w:r>
    </w:p>
    <w:p w14:paraId="30588B72">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4FEA6C28">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①《武汉市公安机关政务服务窗口管理规定》；</w:t>
      </w:r>
    </w:p>
    <w:p w14:paraId="6F4408E7">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②《湖北省公安机关执法办案区建设技术标准》；</w:t>
      </w:r>
    </w:p>
    <w:p w14:paraId="201685F9">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③武汉市公安局关于《行政办案中心管理规定》；</w:t>
      </w:r>
    </w:p>
    <w:p w14:paraId="1B1E6545">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④中办、国办《关于深入推进审批服务便民化的指导意见》；</w:t>
      </w:r>
    </w:p>
    <w:p w14:paraId="781FCA4D">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⑤《公安交管部门进一步深化“放管服”改革提升交管服务便利化的措施》（公交管〔2018〕279号）；</w:t>
      </w:r>
    </w:p>
    <w:p w14:paraId="76A0DBB0">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⑥《推进公安交管“放管服”改革20项措施实施细则》</w:t>
      </w:r>
    </w:p>
    <w:p w14:paraId="1418E88D">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1A01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1A9E153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3DA05DA2">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4C34DF5A">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23694ED2">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2971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4B87D81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设备购置及更新</w:t>
            </w:r>
          </w:p>
        </w:tc>
        <w:tc>
          <w:tcPr>
            <w:tcW w:w="1485" w:type="dxa"/>
            <w:vAlign w:val="center"/>
          </w:tcPr>
          <w:p w14:paraId="3579364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50.00</w:t>
            </w:r>
          </w:p>
        </w:tc>
        <w:tc>
          <w:tcPr>
            <w:tcW w:w="1500" w:type="dxa"/>
            <w:vAlign w:val="center"/>
          </w:tcPr>
          <w:p w14:paraId="062438C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36A3153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50.00</w:t>
            </w:r>
          </w:p>
        </w:tc>
      </w:tr>
      <w:tr w14:paraId="513F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0BF434A5">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车辆运行维护经费</w:t>
            </w:r>
          </w:p>
        </w:tc>
        <w:tc>
          <w:tcPr>
            <w:tcW w:w="1485" w:type="dxa"/>
            <w:vAlign w:val="center"/>
          </w:tcPr>
          <w:p w14:paraId="32944E7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109.71</w:t>
            </w:r>
          </w:p>
        </w:tc>
        <w:tc>
          <w:tcPr>
            <w:tcW w:w="1500" w:type="dxa"/>
            <w:vAlign w:val="center"/>
          </w:tcPr>
          <w:p w14:paraId="7E942C95">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157F572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109.71</w:t>
            </w:r>
          </w:p>
        </w:tc>
      </w:tr>
      <w:tr w14:paraId="0197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0091C46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民警、辅警工伤救助</w:t>
            </w:r>
          </w:p>
        </w:tc>
        <w:tc>
          <w:tcPr>
            <w:tcW w:w="1485" w:type="dxa"/>
            <w:vAlign w:val="center"/>
          </w:tcPr>
          <w:p w14:paraId="73288B7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10.00</w:t>
            </w:r>
          </w:p>
        </w:tc>
        <w:tc>
          <w:tcPr>
            <w:tcW w:w="1500" w:type="dxa"/>
            <w:vAlign w:val="center"/>
          </w:tcPr>
          <w:p w14:paraId="757C461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3B99427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10.00</w:t>
            </w:r>
          </w:p>
        </w:tc>
      </w:tr>
      <w:tr w14:paraId="152E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9C68AB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党建、精神文明</w:t>
            </w:r>
          </w:p>
        </w:tc>
        <w:tc>
          <w:tcPr>
            <w:tcW w:w="1485" w:type="dxa"/>
            <w:vAlign w:val="center"/>
          </w:tcPr>
          <w:p w14:paraId="40C4B47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15.00</w:t>
            </w:r>
          </w:p>
        </w:tc>
        <w:tc>
          <w:tcPr>
            <w:tcW w:w="1500" w:type="dxa"/>
            <w:vAlign w:val="center"/>
          </w:tcPr>
          <w:p w14:paraId="554B6B91">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496A7C4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15.00</w:t>
            </w:r>
          </w:p>
        </w:tc>
      </w:tr>
      <w:tr w14:paraId="4923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3B5C18B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洪山车管分所服务大厅新增设备</w:t>
            </w:r>
          </w:p>
        </w:tc>
        <w:tc>
          <w:tcPr>
            <w:tcW w:w="1485" w:type="dxa"/>
            <w:vAlign w:val="center"/>
          </w:tcPr>
          <w:p w14:paraId="572D44E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177.20</w:t>
            </w:r>
          </w:p>
        </w:tc>
        <w:tc>
          <w:tcPr>
            <w:tcW w:w="1500" w:type="dxa"/>
            <w:vAlign w:val="center"/>
          </w:tcPr>
          <w:p w14:paraId="7EB927A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20326A4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177.20</w:t>
            </w:r>
          </w:p>
        </w:tc>
      </w:tr>
      <w:tr w14:paraId="6CF0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6D7E4B1B">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营房维修</w:t>
            </w:r>
          </w:p>
        </w:tc>
        <w:tc>
          <w:tcPr>
            <w:tcW w:w="1485" w:type="dxa"/>
            <w:vAlign w:val="center"/>
          </w:tcPr>
          <w:p w14:paraId="21143AA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108.27</w:t>
            </w:r>
          </w:p>
        </w:tc>
        <w:tc>
          <w:tcPr>
            <w:tcW w:w="1500" w:type="dxa"/>
            <w:vAlign w:val="center"/>
          </w:tcPr>
          <w:p w14:paraId="201BE00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686E5CE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108.27</w:t>
            </w:r>
          </w:p>
        </w:tc>
      </w:tr>
      <w:tr w14:paraId="5EB0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5448AAE8">
            <w:pPr>
              <w:spacing w:line="360" w:lineRule="auto"/>
              <w:jc w:val="center"/>
              <w:outlineLvl w:val="0"/>
              <w:rPr>
                <w:rFonts w:ascii="Arial Narrow" w:hAnsi="Arial Narrow" w:cs="Arial Narrow"/>
                <w:b/>
                <w:sz w:val="21"/>
                <w:szCs w:val="21"/>
              </w:rPr>
            </w:pPr>
            <w:r>
              <w:rPr>
                <w:rFonts w:ascii="Arial Narrow" w:hAnsi="Arial Narrow" w:cs="Arial Narrow"/>
                <w:b/>
                <w:sz w:val="21"/>
                <w:szCs w:val="21"/>
              </w:rPr>
              <w:t>合计</w:t>
            </w:r>
          </w:p>
        </w:tc>
        <w:tc>
          <w:tcPr>
            <w:tcW w:w="1485" w:type="dxa"/>
            <w:vAlign w:val="center"/>
          </w:tcPr>
          <w:p w14:paraId="02D178B3">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470.18</w:t>
            </w:r>
          </w:p>
        </w:tc>
        <w:tc>
          <w:tcPr>
            <w:tcW w:w="1500" w:type="dxa"/>
            <w:vAlign w:val="center"/>
          </w:tcPr>
          <w:p w14:paraId="39102C84">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w:t>
            </w:r>
          </w:p>
        </w:tc>
        <w:tc>
          <w:tcPr>
            <w:tcW w:w="1268" w:type="dxa"/>
            <w:vAlign w:val="center"/>
          </w:tcPr>
          <w:p w14:paraId="3C88945B">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470.18</w:t>
            </w:r>
          </w:p>
        </w:tc>
      </w:tr>
    </w:tbl>
    <w:p w14:paraId="27D6AA56">
      <w:pPr>
        <w:spacing w:line="360" w:lineRule="auto"/>
        <w:ind w:firstLine="480" w:firstLineChars="200"/>
        <w:outlineLvl w:val="0"/>
        <w:rPr>
          <w:rFonts w:ascii="Arial Narrow" w:hAnsi="Arial Narrow" w:cs="Arial Narrow"/>
          <w:bCs/>
          <w:sz w:val="24"/>
        </w:rPr>
      </w:pPr>
    </w:p>
    <w:p w14:paraId="71516B73">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1-2、项目绩效目标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989"/>
        <w:gridCol w:w="1038"/>
      </w:tblGrid>
      <w:tr w14:paraId="124209E3">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3FC2F">
            <w:pPr>
              <w:widowControl/>
              <w:spacing w:line="360" w:lineRule="auto"/>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E7602">
            <w:pPr>
              <w:widowControl/>
              <w:spacing w:line="360" w:lineRule="auto"/>
              <w:ind w:firstLine="420" w:firstLineChars="200"/>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按照国家法律法规要求，加强民辅警执勤防护装备，加强政治学习，营造为人民服务，让人民群众满意的办公环境。</w:t>
            </w:r>
          </w:p>
        </w:tc>
      </w:tr>
      <w:tr w14:paraId="26119560">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2172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F8DF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5D8D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C1B4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F399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66B9E23A">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C41D8">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496B74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15D3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27CB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采购计划完成率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587CD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23746548">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8A5AA">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680F06">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52FBA">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49E2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工伤人员救助覆盖率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5199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3F3E20CF">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30B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F7EDAF8">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3240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9E26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党建、精神文明建设及共青团活动覆盖率</w:t>
            </w:r>
            <w:r>
              <w:rPr>
                <w:rFonts w:ascii="Arial Narrow" w:hAnsi="Arial Narrow" w:cs="Arial Narrow"/>
                <w:bCs/>
                <w:color w:val="000000"/>
                <w:sz w:val="21"/>
                <w:szCs w:val="21"/>
              </w:rPr>
              <w:tab/>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5F7CA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37298CA0">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D6EA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009F0A0">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117A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5EA6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项目验收优质率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DCE2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≥80%</w:t>
            </w:r>
          </w:p>
        </w:tc>
      </w:tr>
      <w:tr w14:paraId="5593AA3D">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49849">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31145">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CA5B5C">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时效指标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FA35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设备到位及时性</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A7FBF">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及时</w:t>
            </w:r>
          </w:p>
        </w:tc>
      </w:tr>
      <w:tr w14:paraId="27B534C9">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6B690">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FC661F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92EA7">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社会效益</w:t>
            </w:r>
          </w:p>
          <w:p w14:paraId="4D6F820D">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D0E3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出警速度提升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76C6CB">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提升</w:t>
            </w:r>
          </w:p>
        </w:tc>
      </w:tr>
      <w:tr w14:paraId="4FF54491">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6D118">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069E7">
            <w:pPr>
              <w:widowControl/>
              <w:spacing w:line="360" w:lineRule="auto"/>
              <w:jc w:val="center"/>
              <w:textAlignment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B70D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满意度指标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51BE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使用人员满意率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9D774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bl>
    <w:p w14:paraId="0F5458DA">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1-3、绩效目标实现情况分析</w:t>
      </w:r>
    </w:p>
    <w:p w14:paraId="31E1656F">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1-3-1、资金情况分析</w:t>
      </w:r>
    </w:p>
    <w:p w14:paraId="2EFD1CAE">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3F421262">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w:t>
      </w:r>
      <w:r>
        <w:rPr>
          <w:rFonts w:hint="eastAsia" w:ascii="Arial Narrow" w:hAnsi="Arial Narrow" w:cs="Arial Narrow"/>
          <w:sz w:val="24"/>
        </w:rPr>
        <w:t>，</w:t>
      </w: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党建、文明、机构运行经费</w:t>
      </w:r>
      <w:r>
        <w:rPr>
          <w:rFonts w:ascii="Arial Narrow" w:hAnsi="Arial Narrow" w:cs="Arial Narrow"/>
          <w:sz w:val="24"/>
        </w:rPr>
        <w:t>项目”预算批复资金为</w:t>
      </w:r>
      <w:r>
        <w:rPr>
          <w:rFonts w:ascii="Arial Narrow" w:hAnsi="Arial Narrow" w:cs="Arial Narrow"/>
          <w:bCs/>
          <w:sz w:val="24"/>
        </w:rPr>
        <w:t>470.18</w:t>
      </w:r>
      <w:r>
        <w:rPr>
          <w:rFonts w:ascii="Arial Narrow" w:hAnsi="Arial Narrow" w:cs="Arial Narrow"/>
          <w:sz w:val="24"/>
        </w:rPr>
        <w:t>万元，实际到位资金为470.18万元，资金到位率100%。资金来源于区级财政预算资金。</w:t>
      </w:r>
    </w:p>
    <w:p w14:paraId="64C804E7">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687100CF">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通过查阅《2019年度项目支出预算执行情况表》，自评小组了解到2019年项目预算金额为470.18万元，实际使用金额为</w:t>
      </w:r>
      <w:r>
        <w:rPr>
          <w:rFonts w:hint="eastAsia" w:ascii="Arial Narrow" w:hAnsi="Arial Narrow" w:cs="Arial Narrow"/>
          <w:sz w:val="24"/>
        </w:rPr>
        <w:t>474.26</w:t>
      </w:r>
      <w:r>
        <w:rPr>
          <w:rFonts w:ascii="Arial Narrow" w:hAnsi="Arial Narrow" w:cs="Arial Narrow"/>
          <w:sz w:val="24"/>
        </w:rPr>
        <w:t>万元，资金使用率为</w:t>
      </w:r>
      <w:r>
        <w:rPr>
          <w:rFonts w:hint="eastAsia" w:ascii="Arial Narrow" w:hAnsi="Arial Narrow" w:cs="Arial Narrow"/>
          <w:sz w:val="24"/>
        </w:rPr>
        <w:t>100.87</w:t>
      </w:r>
      <w:r>
        <w:rPr>
          <w:rFonts w:ascii="Arial Narrow" w:hAnsi="Arial Narrow" w:cs="Arial Narrow"/>
          <w:sz w:val="24"/>
        </w:rPr>
        <w:t>%。</w:t>
      </w:r>
      <w:r>
        <w:rPr>
          <w:rFonts w:hint="eastAsia" w:ascii="Arial Narrow" w:hAnsi="Arial Narrow" w:cs="Arial Narrow"/>
          <w:sz w:val="24"/>
        </w:rPr>
        <w:t>偏差原因：年初预算编制不合理，资金使用不合理。</w:t>
      </w:r>
    </w:p>
    <w:p w14:paraId="5238FECF">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1-3-2、绩效指标完成情况分析</w:t>
      </w:r>
    </w:p>
    <w:p w14:paraId="6F941D78">
      <w:pPr>
        <w:spacing w:line="360" w:lineRule="auto"/>
        <w:ind w:firstLine="480" w:firstLineChars="200"/>
        <w:rPr>
          <w:rFonts w:ascii="Arial Narrow" w:hAnsi="Arial Narrow" w:cs="Arial Narrow"/>
          <w:sz w:val="24"/>
        </w:rPr>
      </w:pPr>
      <w:r>
        <w:rPr>
          <w:rFonts w:ascii="Arial Narrow" w:hAnsi="Arial Narrow" w:cs="Arial Narrow"/>
          <w:sz w:val="24"/>
        </w:rPr>
        <w:t>（1）产出指标</w:t>
      </w:r>
      <w:r>
        <w:rPr>
          <w:rFonts w:hint="eastAsia" w:ascii="Arial Narrow" w:hAnsi="Arial Narrow" w:cs="Arial Narrow"/>
          <w:sz w:val="24"/>
        </w:rPr>
        <w:t>（40分）</w:t>
      </w:r>
    </w:p>
    <w:p w14:paraId="203B6F5E">
      <w:pPr>
        <w:spacing w:line="360" w:lineRule="auto"/>
        <w:ind w:firstLine="480" w:firstLineChars="200"/>
        <w:rPr>
          <w:rFonts w:ascii="Arial Narrow" w:hAnsi="Arial Narrow" w:cs="Arial Narrow"/>
          <w:sz w:val="24"/>
        </w:rPr>
      </w:pPr>
      <w:r>
        <w:rPr>
          <w:rFonts w:ascii="Arial Narrow" w:hAnsi="Arial Narrow" w:cs="Arial Narrow"/>
          <w:sz w:val="24"/>
        </w:rPr>
        <w:t>①</w:t>
      </w:r>
      <w:r>
        <w:rPr>
          <w:rFonts w:ascii="Arial Narrow" w:hAnsi="Arial Narrow" w:cs="Arial Narrow"/>
          <w:bCs/>
          <w:color w:val="000000"/>
          <w:sz w:val="24"/>
        </w:rPr>
        <w:t>采购计划完成率（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通过查阅相关资料，自评小组了解到2019年完成年初采购计划，各项设备采购均在计划内，该指标得分为8分。</w:t>
      </w:r>
    </w:p>
    <w:p w14:paraId="232C3CD8">
      <w:pPr>
        <w:spacing w:line="360" w:lineRule="auto"/>
        <w:ind w:firstLine="480" w:firstLineChars="200"/>
        <w:rPr>
          <w:rFonts w:ascii="Arial Narrow" w:hAnsi="Arial Narrow" w:cs="Arial Narrow"/>
          <w:bCs/>
          <w:color w:val="000000"/>
          <w:sz w:val="24"/>
        </w:rPr>
      </w:pPr>
      <w:r>
        <w:rPr>
          <w:rFonts w:ascii="Arial Narrow" w:hAnsi="Arial Narrow" w:cs="Arial Narrow"/>
          <w:sz w:val="24"/>
        </w:rPr>
        <w:t>②</w:t>
      </w:r>
      <w:r>
        <w:rPr>
          <w:rFonts w:ascii="Arial Narrow" w:hAnsi="Arial Narrow" w:cs="Arial Narrow"/>
          <w:bCs/>
          <w:color w:val="000000"/>
          <w:sz w:val="24"/>
        </w:rPr>
        <w:t>工伤人员救助覆盖率（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通过查阅相关资料，自评小组了解到2019年对所有工伤人员进行了救助，以改善工伤人员的生活条件，该指标得得分为8分。</w:t>
      </w:r>
    </w:p>
    <w:p w14:paraId="7327002F">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③党建、精神文明建设及共青团活动覆盖率（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通过查阅相关资料，自评小组了解到2019年开展的党建、精神文明建设等活动覆盖各个部门，覆盖率达到100%，该指标得分为8分。</w:t>
      </w:r>
    </w:p>
    <w:p w14:paraId="3A3F037C">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④项目验收优质率（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通过查阅相关资料，自评小组了解到各采购部门严格把控采购设备的质量，优质率达到80%，该指标得分为8分。</w:t>
      </w:r>
    </w:p>
    <w:p w14:paraId="1E7581FE">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⑤设备到位及时性（</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部分采购活动未在规定的时间内开展，扣2分，该指标得分为6分。未完成原因：2019年因军运会的开展以及道路交通管理工作的繁忙，部分采购设备未及时到位，但未影响交警出警的及时性。</w:t>
      </w:r>
    </w:p>
    <w:p w14:paraId="1D08ADDD">
      <w:pPr>
        <w:spacing w:line="360" w:lineRule="auto"/>
        <w:ind w:firstLine="480" w:firstLineChars="200"/>
        <w:rPr>
          <w:rFonts w:ascii="Arial Narrow" w:hAnsi="Arial Narrow" w:cs="Arial Narrow"/>
          <w:sz w:val="24"/>
        </w:rPr>
      </w:pPr>
      <w:r>
        <w:rPr>
          <w:rFonts w:ascii="Arial Narrow" w:hAnsi="Arial Narrow" w:cs="Arial Narrow"/>
          <w:sz w:val="24"/>
        </w:rPr>
        <w:t>（2）效益指标</w:t>
      </w:r>
      <w:r>
        <w:rPr>
          <w:rFonts w:hint="eastAsia" w:ascii="Arial Narrow" w:hAnsi="Arial Narrow" w:cs="Arial Narrow"/>
          <w:sz w:val="24"/>
        </w:rPr>
        <w:t>（20分）</w:t>
      </w:r>
    </w:p>
    <w:p w14:paraId="7102C0CA">
      <w:pPr>
        <w:spacing w:line="360" w:lineRule="auto"/>
        <w:ind w:firstLine="480" w:firstLineChars="200"/>
        <w:rPr>
          <w:rFonts w:ascii="Arial Narrow" w:hAnsi="Arial Narrow" w:cs="Arial Narrow"/>
          <w:bCs/>
          <w:color w:val="000000"/>
          <w:sz w:val="24"/>
        </w:rPr>
      </w:pPr>
      <w:r>
        <w:rPr>
          <w:rFonts w:ascii="Arial Narrow" w:hAnsi="Arial Narrow" w:cs="Arial Narrow"/>
          <w:sz w:val="24"/>
        </w:rPr>
        <w:t>①</w:t>
      </w:r>
      <w:r>
        <w:rPr>
          <w:rFonts w:ascii="Arial Narrow" w:hAnsi="Arial Narrow" w:cs="Arial Narrow"/>
          <w:bCs/>
          <w:color w:val="000000"/>
          <w:sz w:val="24"/>
        </w:rPr>
        <w:t>出警速度提升（</w:t>
      </w:r>
      <w:r>
        <w:rPr>
          <w:rFonts w:hint="eastAsia" w:ascii="Arial Narrow" w:hAnsi="Arial Narrow" w:cs="Arial Narrow"/>
          <w:bCs/>
          <w:color w:val="000000"/>
          <w:sz w:val="24"/>
        </w:rPr>
        <w:t>10分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。通过查阅相关资料，自评小组了解到2019年新设备的到位，在一定程度上提升了警员的出警速度，该指标得分为10分。</w:t>
      </w:r>
    </w:p>
    <w:p w14:paraId="11AAE67E">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②使用人员满意率</w:t>
      </w:r>
      <w:r>
        <w:rPr>
          <w:rFonts w:ascii="Arial Narrow" w:hAnsi="Arial Narrow" w:cs="Arial Narrow"/>
          <w:bCs/>
          <w:color w:val="000000"/>
          <w:sz w:val="24"/>
        </w:rPr>
        <w:t>（</w:t>
      </w:r>
      <w:r>
        <w:rPr>
          <w:rFonts w:hint="eastAsia" w:ascii="Arial Narrow" w:hAnsi="Arial Narrow" w:cs="Arial Narrow"/>
          <w:bCs/>
          <w:color w:val="000000"/>
          <w:sz w:val="24"/>
        </w:rPr>
        <w:t>10分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通过查阅相关资料，自评小组了解到内部使用人员对新购设备的满意度达到90%，完成目标，该指标得分为10分。</w:t>
      </w:r>
    </w:p>
    <w:p w14:paraId="645932D5">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1-4、自评结果</w:t>
      </w:r>
    </w:p>
    <w:p w14:paraId="4D000506">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92.00</w:t>
      </w:r>
      <w:r>
        <w:rPr>
          <w:rFonts w:ascii="Arial Narrow" w:hAnsi="Arial Narrow" w:cs="Arial Narrow"/>
          <w:bCs/>
          <w:sz w:val="24"/>
        </w:rPr>
        <w:t>分，自评等级为</w:t>
      </w:r>
      <w:r>
        <w:rPr>
          <w:rFonts w:hint="eastAsia" w:ascii="Arial Narrow" w:hAnsi="Arial Narrow" w:cs="Arial Narrow"/>
          <w:bCs/>
          <w:sz w:val="24"/>
        </w:rPr>
        <w:t>优</w:t>
      </w:r>
      <w:r>
        <w:rPr>
          <w:rFonts w:ascii="Arial Narrow" w:hAnsi="Arial Narrow" w:cs="Arial Narrow"/>
          <w:bCs/>
          <w:sz w:val="24"/>
        </w:rPr>
        <w:t>。详见《</w:t>
      </w:r>
      <w:r>
        <w:rPr>
          <w:rFonts w:hint="eastAsia" w:ascii="Arial Narrow" w:hAnsi="Arial Narrow" w:cs="Arial Narrow"/>
          <w:bCs/>
          <w:sz w:val="24"/>
        </w:rPr>
        <w:t>党建、文明、机构运行经费</w:t>
      </w:r>
      <w:r>
        <w:rPr>
          <w:rFonts w:ascii="Arial Narrow" w:hAnsi="Arial Narrow" w:cs="Arial Narrow"/>
          <w:bCs/>
          <w:sz w:val="24"/>
        </w:rPr>
        <w:t>项目支出绩效自评表》（附件</w:t>
      </w:r>
      <w:r>
        <w:rPr>
          <w:rFonts w:hint="eastAsia" w:ascii="Arial Narrow" w:hAnsi="Arial Narrow" w:cs="Arial Narrow"/>
          <w:bCs/>
          <w:sz w:val="24"/>
        </w:rPr>
        <w:t>1.1</w:t>
      </w:r>
      <w:r>
        <w:rPr>
          <w:rFonts w:ascii="Arial Narrow" w:hAnsi="Arial Narrow" w:cs="Arial Narrow"/>
          <w:bCs/>
          <w:sz w:val="24"/>
        </w:rPr>
        <w:t>）</w:t>
      </w:r>
    </w:p>
    <w:p w14:paraId="14CD8362">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1-5、主要问题和改进措施</w:t>
      </w:r>
    </w:p>
    <w:p w14:paraId="2B361607">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54F7D2B3">
      <w:pPr>
        <w:spacing w:line="360" w:lineRule="auto"/>
        <w:ind w:firstLine="480" w:firstLineChars="200"/>
        <w:rPr>
          <w:rFonts w:ascii="Arial Narrow" w:hAnsi="Arial Narrow" w:cs="Arial Narrow"/>
          <w:sz w:val="24"/>
        </w:rPr>
      </w:pPr>
      <w:r>
        <w:rPr>
          <w:rFonts w:hint="eastAsia" w:ascii="Arial Narrow" w:hAnsi="Arial Narrow" w:cs="Arial Narrow"/>
          <w:sz w:val="24"/>
        </w:rPr>
        <w:t>①2019年因军运会的开展以及道路交通管理工作的繁忙，部分采购设备未及时到位，但未影响交警出警的及时性。</w:t>
      </w:r>
    </w:p>
    <w:p w14:paraId="425AF3CB">
      <w:pPr>
        <w:numPr>
          <w:ilvl w:val="0"/>
          <w:numId w:val="1"/>
        </w:numPr>
        <w:spacing w:line="360" w:lineRule="auto"/>
        <w:ind w:firstLine="480" w:firstLineChars="200"/>
        <w:rPr>
          <w:rFonts w:ascii="Arial Narrow" w:hAnsi="Arial Narrow" w:cs="Arial Narrow"/>
          <w:sz w:val="24"/>
        </w:rPr>
      </w:pPr>
      <w:r>
        <w:rPr>
          <w:rFonts w:hint="eastAsia" w:ascii="Arial Narrow" w:hAnsi="Arial Narrow" w:cs="Arial Narrow"/>
          <w:sz w:val="24"/>
        </w:rPr>
        <w:t>改进措施</w:t>
      </w:r>
    </w:p>
    <w:p w14:paraId="364799A0">
      <w:pPr>
        <w:spacing w:line="360" w:lineRule="auto"/>
        <w:ind w:firstLine="480" w:firstLineChars="200"/>
        <w:rPr>
          <w:rFonts w:ascii="Arial Narrow" w:hAnsi="Arial Narrow" w:cs="Arial Narrow"/>
          <w:sz w:val="24"/>
        </w:rPr>
      </w:pPr>
      <w:r>
        <w:rPr>
          <w:rFonts w:hint="eastAsia" w:ascii="Arial Narrow" w:hAnsi="Arial Narrow" w:cs="Arial Narrow"/>
          <w:sz w:val="24"/>
        </w:rPr>
        <w:t>①合理规划设备采购时间点，为及时出警提供保障。</w:t>
      </w:r>
    </w:p>
    <w:p w14:paraId="73DD51A9">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2.</w:t>
      </w:r>
      <w:r>
        <w:rPr>
          <w:rFonts w:hint="eastAsia" w:ascii="Arial Narrow" w:hAnsi="Arial Narrow" w:cs="Arial Narrow"/>
          <w:b/>
          <w:bCs/>
          <w:sz w:val="28"/>
          <w:szCs w:val="28"/>
        </w:rPr>
        <w:t>办案执法保障经费</w:t>
      </w:r>
    </w:p>
    <w:p w14:paraId="0C92A5A0">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2-1、项目基本情况</w:t>
      </w:r>
    </w:p>
    <w:p w14:paraId="70E8ADE2">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2963B13D">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为了进一步提升交通管理水平，完善街面执法勤务，提高见警率和管事率，更好地服务第七届世界军人运动会</w:t>
      </w:r>
      <w:r>
        <w:rPr>
          <w:rFonts w:hint="eastAsia" w:ascii="Arial Narrow" w:hAnsi="Arial Narrow" w:cs="Arial Narrow"/>
          <w:bCs/>
          <w:sz w:val="24"/>
        </w:rPr>
        <w:t>，</w:t>
      </w:r>
      <w:r>
        <w:rPr>
          <w:rFonts w:ascii="Arial Narrow" w:hAnsi="Arial Narrow" w:cs="Arial Narrow"/>
          <w:bCs/>
          <w:sz w:val="24"/>
        </w:rPr>
        <w:t>确保各项工作圆满顺利进行。</w:t>
      </w:r>
    </w:p>
    <w:p w14:paraId="709327A1">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58644DB6">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①《武汉市公安局执法记录仪使用与管理规定》（【2016】50号）；</w:t>
      </w:r>
    </w:p>
    <w:p w14:paraId="1B0633A2">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②《公安机关装备管理办法》（公通字【2014】21号）；</w:t>
      </w:r>
    </w:p>
    <w:p w14:paraId="57F792A2">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③《湖北省公安机关单警装备管理使用规定》；</w:t>
      </w:r>
    </w:p>
    <w:p w14:paraId="4FC14750">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④《关于深化开展交通安全宣传；“五进”活动的工作意见》公交管【2004】；</w:t>
      </w:r>
    </w:p>
    <w:p w14:paraId="44D9A892">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⑤《2019年全市公安交管工作要点》；</w:t>
      </w:r>
    </w:p>
    <w:p w14:paraId="6D24C114">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⑥《2018年交通安全宣传教育重点工作责任分工》</w:t>
      </w:r>
    </w:p>
    <w:p w14:paraId="36100684">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40F5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1FD6BF4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0C760CE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27D89251">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3A71F5F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6D77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6EBE88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交通管理办案经费</w:t>
            </w:r>
          </w:p>
        </w:tc>
        <w:tc>
          <w:tcPr>
            <w:tcW w:w="1485" w:type="dxa"/>
            <w:vAlign w:val="center"/>
          </w:tcPr>
          <w:p w14:paraId="4344211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646.00</w:t>
            </w:r>
          </w:p>
        </w:tc>
        <w:tc>
          <w:tcPr>
            <w:tcW w:w="1500" w:type="dxa"/>
            <w:vAlign w:val="center"/>
          </w:tcPr>
          <w:p w14:paraId="27B642FA">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16343F9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646.00</w:t>
            </w:r>
          </w:p>
        </w:tc>
      </w:tr>
      <w:tr w14:paraId="24B1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063B8C0">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快骑新增摩托车及装备经费</w:t>
            </w:r>
          </w:p>
        </w:tc>
        <w:tc>
          <w:tcPr>
            <w:tcW w:w="1485" w:type="dxa"/>
            <w:vAlign w:val="center"/>
          </w:tcPr>
          <w:p w14:paraId="2CB35AF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331.00</w:t>
            </w:r>
          </w:p>
        </w:tc>
        <w:tc>
          <w:tcPr>
            <w:tcW w:w="1500" w:type="dxa"/>
            <w:vAlign w:val="center"/>
          </w:tcPr>
          <w:p w14:paraId="77B59EED">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0D9EEB3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331.00</w:t>
            </w:r>
          </w:p>
        </w:tc>
      </w:tr>
      <w:tr w14:paraId="4216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565832E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司法救助经费</w:t>
            </w:r>
          </w:p>
        </w:tc>
        <w:tc>
          <w:tcPr>
            <w:tcW w:w="1485" w:type="dxa"/>
            <w:vAlign w:val="center"/>
          </w:tcPr>
          <w:p w14:paraId="10A5236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20.00</w:t>
            </w:r>
          </w:p>
        </w:tc>
        <w:tc>
          <w:tcPr>
            <w:tcW w:w="1500" w:type="dxa"/>
            <w:vAlign w:val="center"/>
          </w:tcPr>
          <w:p w14:paraId="2A4CFB3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664D648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20.00</w:t>
            </w:r>
          </w:p>
        </w:tc>
      </w:tr>
      <w:tr w14:paraId="6D51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7D9803F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警用装备购置</w:t>
            </w:r>
          </w:p>
        </w:tc>
        <w:tc>
          <w:tcPr>
            <w:tcW w:w="1485" w:type="dxa"/>
            <w:vAlign w:val="center"/>
          </w:tcPr>
          <w:p w14:paraId="4BDC895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235.44</w:t>
            </w:r>
          </w:p>
        </w:tc>
        <w:tc>
          <w:tcPr>
            <w:tcW w:w="1500" w:type="dxa"/>
            <w:vAlign w:val="center"/>
          </w:tcPr>
          <w:p w14:paraId="668DEFC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6E3473F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235.44</w:t>
            </w:r>
          </w:p>
        </w:tc>
      </w:tr>
      <w:tr w14:paraId="100B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744AD6E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购买劳务支出</w:t>
            </w:r>
          </w:p>
        </w:tc>
        <w:tc>
          <w:tcPr>
            <w:tcW w:w="1485" w:type="dxa"/>
            <w:vAlign w:val="center"/>
          </w:tcPr>
          <w:p w14:paraId="762478F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2697.42</w:t>
            </w:r>
          </w:p>
        </w:tc>
        <w:tc>
          <w:tcPr>
            <w:tcW w:w="1500" w:type="dxa"/>
            <w:vAlign w:val="center"/>
          </w:tcPr>
          <w:p w14:paraId="7042B74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4A7F487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2697.42</w:t>
            </w:r>
          </w:p>
        </w:tc>
      </w:tr>
      <w:tr w14:paraId="3A00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2AF727E5">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临水路段隐患整治-交通大队</w:t>
            </w:r>
          </w:p>
        </w:tc>
        <w:tc>
          <w:tcPr>
            <w:tcW w:w="1485" w:type="dxa"/>
            <w:vAlign w:val="center"/>
          </w:tcPr>
          <w:p w14:paraId="66C23D7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44BC6CF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199.00 </w:t>
            </w:r>
          </w:p>
        </w:tc>
        <w:tc>
          <w:tcPr>
            <w:tcW w:w="1268" w:type="dxa"/>
            <w:vAlign w:val="center"/>
          </w:tcPr>
          <w:p w14:paraId="0BAE550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199.00 </w:t>
            </w:r>
          </w:p>
        </w:tc>
      </w:tr>
      <w:tr w14:paraId="309E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3C85D23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一中队业务用房维修改造项目-交通大队</w:t>
            </w:r>
          </w:p>
        </w:tc>
        <w:tc>
          <w:tcPr>
            <w:tcW w:w="1485" w:type="dxa"/>
            <w:vAlign w:val="center"/>
          </w:tcPr>
          <w:p w14:paraId="74DDC11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7A45BC5D">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124.85 </w:t>
            </w:r>
          </w:p>
        </w:tc>
        <w:tc>
          <w:tcPr>
            <w:tcW w:w="1268" w:type="dxa"/>
            <w:vAlign w:val="center"/>
          </w:tcPr>
          <w:p w14:paraId="6058255C">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124.85 </w:t>
            </w:r>
          </w:p>
        </w:tc>
      </w:tr>
      <w:tr w14:paraId="2190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3B1A646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“4.3”交通事故案家属补偿金</w:t>
            </w:r>
          </w:p>
        </w:tc>
        <w:tc>
          <w:tcPr>
            <w:tcW w:w="1485" w:type="dxa"/>
            <w:vAlign w:val="center"/>
          </w:tcPr>
          <w:p w14:paraId="7E8ADC31">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302E5204">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60.00 </w:t>
            </w:r>
          </w:p>
        </w:tc>
        <w:tc>
          <w:tcPr>
            <w:tcW w:w="1268" w:type="dxa"/>
            <w:vAlign w:val="center"/>
          </w:tcPr>
          <w:p w14:paraId="7C0D33F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60.00 </w:t>
            </w:r>
          </w:p>
        </w:tc>
      </w:tr>
      <w:tr w14:paraId="1616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4A53C17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购买劳务支出-交通大队</w:t>
            </w:r>
          </w:p>
        </w:tc>
        <w:tc>
          <w:tcPr>
            <w:tcW w:w="1485" w:type="dxa"/>
            <w:vAlign w:val="center"/>
          </w:tcPr>
          <w:p w14:paraId="0A31ECAB">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385107F4">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120.00 </w:t>
            </w:r>
          </w:p>
        </w:tc>
        <w:tc>
          <w:tcPr>
            <w:tcW w:w="1268" w:type="dxa"/>
            <w:vAlign w:val="center"/>
          </w:tcPr>
          <w:p w14:paraId="17AAFF73">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120.00 </w:t>
            </w:r>
          </w:p>
        </w:tc>
      </w:tr>
      <w:tr w14:paraId="4FEE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7AA51CE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道路交通指示信息牌更换</w:t>
            </w:r>
          </w:p>
        </w:tc>
        <w:tc>
          <w:tcPr>
            <w:tcW w:w="1485" w:type="dxa"/>
            <w:vAlign w:val="center"/>
          </w:tcPr>
          <w:p w14:paraId="2B52C9F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221B194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150.37 </w:t>
            </w:r>
          </w:p>
        </w:tc>
        <w:tc>
          <w:tcPr>
            <w:tcW w:w="1268" w:type="dxa"/>
            <w:vAlign w:val="center"/>
          </w:tcPr>
          <w:p w14:paraId="04A52E4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150.37 </w:t>
            </w:r>
          </w:p>
        </w:tc>
      </w:tr>
      <w:tr w14:paraId="160C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7FA86C78">
            <w:pPr>
              <w:spacing w:line="360" w:lineRule="auto"/>
              <w:jc w:val="center"/>
              <w:outlineLvl w:val="0"/>
              <w:rPr>
                <w:rFonts w:ascii="Arial Narrow" w:hAnsi="Arial Narrow" w:cs="Arial Narrow"/>
                <w:b/>
                <w:sz w:val="21"/>
                <w:szCs w:val="21"/>
              </w:rPr>
            </w:pPr>
            <w:r>
              <w:rPr>
                <w:rFonts w:ascii="Arial Narrow" w:hAnsi="Arial Narrow" w:cs="Arial Narrow"/>
                <w:b/>
                <w:sz w:val="21"/>
                <w:szCs w:val="21"/>
              </w:rPr>
              <w:t>合计</w:t>
            </w:r>
          </w:p>
        </w:tc>
        <w:tc>
          <w:tcPr>
            <w:tcW w:w="1485" w:type="dxa"/>
            <w:vAlign w:val="center"/>
          </w:tcPr>
          <w:p w14:paraId="7B562942">
            <w:pPr>
              <w:spacing w:line="360" w:lineRule="auto"/>
              <w:jc w:val="center"/>
              <w:outlineLvl w:val="0"/>
              <w:rPr>
                <w:rFonts w:ascii="Arial Narrow" w:hAnsi="Arial Narrow" w:cs="Arial Narrow"/>
                <w:b/>
                <w:sz w:val="21"/>
                <w:szCs w:val="21"/>
              </w:rPr>
            </w:pPr>
            <w:r>
              <w:rPr>
                <w:rFonts w:ascii="Arial Narrow" w:hAnsi="Arial Narrow" w:cs="Arial Narrow"/>
                <w:b/>
                <w:sz w:val="21"/>
                <w:szCs w:val="21"/>
              </w:rPr>
              <w:t>3929.86</w:t>
            </w:r>
          </w:p>
        </w:tc>
        <w:tc>
          <w:tcPr>
            <w:tcW w:w="1500" w:type="dxa"/>
            <w:vAlign w:val="center"/>
          </w:tcPr>
          <w:p w14:paraId="3379B7F2">
            <w:pPr>
              <w:spacing w:line="360" w:lineRule="auto"/>
              <w:jc w:val="center"/>
              <w:outlineLvl w:val="0"/>
              <w:rPr>
                <w:rFonts w:ascii="Arial Narrow" w:hAnsi="Arial Narrow" w:cs="Arial Narrow"/>
                <w:b/>
                <w:sz w:val="21"/>
                <w:szCs w:val="21"/>
              </w:rPr>
            </w:pPr>
            <w:r>
              <w:rPr>
                <w:rFonts w:ascii="Arial Narrow" w:hAnsi="Arial Narrow" w:cs="Arial Narrow"/>
                <w:b/>
                <w:sz w:val="21"/>
                <w:szCs w:val="21"/>
              </w:rPr>
              <w:t xml:space="preserve">654.22 </w:t>
            </w:r>
          </w:p>
        </w:tc>
        <w:tc>
          <w:tcPr>
            <w:tcW w:w="1268" w:type="dxa"/>
            <w:vAlign w:val="center"/>
          </w:tcPr>
          <w:p w14:paraId="5F929933">
            <w:pPr>
              <w:spacing w:line="360" w:lineRule="auto"/>
              <w:jc w:val="center"/>
              <w:outlineLvl w:val="0"/>
              <w:rPr>
                <w:rFonts w:ascii="Arial Narrow" w:hAnsi="Arial Narrow" w:cs="Arial Narrow"/>
                <w:b/>
                <w:sz w:val="21"/>
                <w:szCs w:val="21"/>
              </w:rPr>
            </w:pPr>
            <w:r>
              <w:rPr>
                <w:rFonts w:ascii="Arial Narrow" w:hAnsi="Arial Narrow" w:cs="Arial Narrow"/>
                <w:b/>
                <w:sz w:val="21"/>
                <w:szCs w:val="21"/>
              </w:rPr>
              <w:t xml:space="preserve">4584.08 </w:t>
            </w:r>
          </w:p>
        </w:tc>
      </w:tr>
    </w:tbl>
    <w:p w14:paraId="6D5A74C0">
      <w:pPr>
        <w:spacing w:line="360" w:lineRule="auto"/>
        <w:ind w:firstLine="480" w:firstLineChars="200"/>
        <w:outlineLvl w:val="0"/>
        <w:rPr>
          <w:rFonts w:ascii="Arial Narrow" w:hAnsi="Arial Narrow" w:cs="Arial Narrow"/>
          <w:bCs/>
          <w:sz w:val="24"/>
        </w:rPr>
      </w:pPr>
    </w:p>
    <w:p w14:paraId="423DE096">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2-2、项目绩效目标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881"/>
        <w:gridCol w:w="1146"/>
      </w:tblGrid>
      <w:tr w14:paraId="048F17CE">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DB7A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A6CDD">
            <w:pPr>
              <w:widowControl/>
              <w:spacing w:line="360" w:lineRule="auto"/>
              <w:ind w:firstLine="420" w:firstLineChars="20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按照国家相关法律规定要求，加强民辅警执勤防护装备，加强办案程序、证据收集。</w:t>
            </w:r>
          </w:p>
        </w:tc>
      </w:tr>
      <w:tr w14:paraId="383AAE42">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0F23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7BF5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3D39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B8C6C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FB83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4C9C4C9A">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BEE1F">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C2AF46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FD94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数量指标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F774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群体性事件发生次数</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F8349">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0</w:t>
            </w:r>
          </w:p>
        </w:tc>
      </w:tr>
      <w:tr w14:paraId="6D911F2F">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39BEB">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DF15666">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C3A3A">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2C598">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考核达标率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3423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w:t>
            </w:r>
            <w:r>
              <w:rPr>
                <w:rFonts w:hint="eastAsia" w:ascii="Arial Narrow" w:hAnsi="Arial Narrow" w:cs="Arial Narrow"/>
                <w:bCs/>
                <w:color w:val="000000"/>
                <w:sz w:val="21"/>
                <w:szCs w:val="21"/>
              </w:rPr>
              <w:t>0</w:t>
            </w:r>
            <w:r>
              <w:rPr>
                <w:rFonts w:ascii="Arial Narrow" w:hAnsi="Arial Narrow" w:cs="Arial Narrow"/>
                <w:bCs/>
                <w:color w:val="000000"/>
                <w:sz w:val="21"/>
                <w:szCs w:val="21"/>
              </w:rPr>
              <w:t>%</w:t>
            </w:r>
          </w:p>
        </w:tc>
      </w:tr>
      <w:tr w14:paraId="7DCCF898">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64608">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59999C4">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CCD97">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80E71">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辅警出勤率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2EF72B">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≥95%</w:t>
            </w:r>
          </w:p>
        </w:tc>
      </w:tr>
      <w:tr w14:paraId="020B6470">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9E677">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8BB37D3">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97643">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AD5A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交通事故中拖运及施救率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838ED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2836654A">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8D543">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BA2423">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9376A">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F86A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执法差错率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D3711">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0%</w:t>
            </w:r>
          </w:p>
        </w:tc>
      </w:tr>
      <w:tr w14:paraId="46A88A71">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880C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1D040C9">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21C3C">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212F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单警装备达标率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6F9B6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417F9A7E">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3DF5A">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D2C526B">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29ABA">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时效指标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B2D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122接警响应时间达标率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74004">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100%</w:t>
            </w:r>
          </w:p>
        </w:tc>
      </w:tr>
      <w:tr w14:paraId="3CFC51E2">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6A0B9">
            <w:pPr>
              <w:spacing w:line="360" w:lineRule="auto"/>
              <w:jc w:val="center"/>
              <w:rPr>
                <w:rFonts w:ascii="Arial Narrow" w:hAnsi="Arial Narrow" w:cs="Arial Narrow"/>
                <w:bCs/>
                <w:color w:val="000000"/>
                <w:sz w:val="21"/>
                <w:szCs w:val="21"/>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0C7F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E3A0F2">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社会效益</w:t>
            </w:r>
          </w:p>
          <w:p w14:paraId="7FA264C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1836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死亡交通肇事逃逸侦破率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B078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bl>
    <w:p w14:paraId="36DE1967">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2-3、绩效目标实现情况分析</w:t>
      </w:r>
    </w:p>
    <w:p w14:paraId="01815725">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2-3-1、资金情况分析</w:t>
      </w:r>
    </w:p>
    <w:p w14:paraId="59F8C7EF">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381AFD15">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根据《洪山区财政局关于2019年一般公共预算的批复》，结合2019年度机构改革的实际情况，洪山区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办案执法保障经费</w:t>
      </w:r>
      <w:r>
        <w:rPr>
          <w:rFonts w:ascii="Arial Narrow" w:hAnsi="Arial Narrow" w:cs="Arial Narrow"/>
          <w:sz w:val="24"/>
        </w:rPr>
        <w:t>项目”预算批复资金为</w:t>
      </w:r>
      <w:r>
        <w:rPr>
          <w:rFonts w:ascii="Arial Narrow" w:hAnsi="Arial Narrow" w:cs="Arial Narrow"/>
          <w:bCs/>
          <w:sz w:val="24"/>
        </w:rPr>
        <w:t>4584.08</w:t>
      </w:r>
      <w:r>
        <w:rPr>
          <w:rFonts w:ascii="Arial Narrow" w:hAnsi="Arial Narrow" w:cs="Arial Narrow"/>
          <w:sz w:val="24"/>
        </w:rPr>
        <w:t>万元，实际到位资金为4584.08万元，资金到位率100%。资金来源于区级财政预算资金。</w:t>
      </w:r>
    </w:p>
    <w:p w14:paraId="7E6BEB16">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0D26B0BE">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通过查阅《2019年度项目支出预算执行情况表》，自评小组了解到2019年项目预算金额为4584.08万元，实际使用金额为4236.00 万元，资金使用率为</w:t>
      </w:r>
      <w:r>
        <w:rPr>
          <w:rFonts w:hint="eastAsia" w:ascii="Arial Narrow" w:hAnsi="Arial Narrow" w:cs="Arial Narrow"/>
          <w:sz w:val="24"/>
        </w:rPr>
        <w:t>92.41</w:t>
      </w:r>
      <w:r>
        <w:rPr>
          <w:rFonts w:ascii="Arial Narrow" w:hAnsi="Arial Narrow" w:cs="Arial Narrow"/>
          <w:sz w:val="24"/>
        </w:rPr>
        <w:t>%。</w:t>
      </w:r>
    </w:p>
    <w:p w14:paraId="20572558">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2-3-2、绩效指标完成情况分析</w:t>
      </w:r>
    </w:p>
    <w:p w14:paraId="4A405CE9">
      <w:pPr>
        <w:spacing w:line="360" w:lineRule="auto"/>
        <w:ind w:firstLine="480" w:firstLineChars="200"/>
        <w:rPr>
          <w:rFonts w:ascii="Arial Narrow" w:hAnsi="Arial Narrow" w:cs="Arial Narrow"/>
          <w:sz w:val="24"/>
        </w:rPr>
      </w:pPr>
      <w:r>
        <w:rPr>
          <w:rFonts w:ascii="Arial Narrow" w:hAnsi="Arial Narrow" w:cs="Arial Narrow"/>
          <w:sz w:val="24"/>
        </w:rPr>
        <w:t>（1）产出指标</w:t>
      </w:r>
      <w:r>
        <w:rPr>
          <w:rFonts w:hint="eastAsia" w:ascii="Arial Narrow" w:hAnsi="Arial Narrow" w:cs="Arial Narrow"/>
          <w:sz w:val="24"/>
        </w:rPr>
        <w:t>（42分）</w:t>
      </w:r>
    </w:p>
    <w:p w14:paraId="22393C79">
      <w:pPr>
        <w:spacing w:line="360" w:lineRule="auto"/>
        <w:ind w:firstLine="480" w:firstLineChars="200"/>
        <w:rPr>
          <w:rFonts w:ascii="Arial Narrow" w:hAnsi="Arial Narrow" w:cs="Arial Narrow"/>
          <w:bCs/>
          <w:color w:val="000000"/>
          <w:sz w:val="24"/>
        </w:rPr>
      </w:pPr>
      <w:r>
        <w:rPr>
          <w:rFonts w:ascii="Arial Narrow" w:hAnsi="Arial Narrow" w:cs="Arial Narrow"/>
          <w:sz w:val="24"/>
        </w:rPr>
        <w:t>①</w:t>
      </w:r>
      <w:r>
        <w:rPr>
          <w:rFonts w:hint="eastAsia" w:ascii="Arial Narrow" w:hAnsi="Arial Narrow" w:cs="Arial Narrow"/>
          <w:bCs/>
          <w:color w:val="000000"/>
          <w:sz w:val="24"/>
        </w:rPr>
        <w:t>群体性事件发生次数</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通过查阅相关资料，自评小组了解到2019年管辖区内未发生群体性事件，该指标得分为6分。</w:t>
      </w:r>
    </w:p>
    <w:p w14:paraId="08D1C208">
      <w:pPr>
        <w:spacing w:line="360" w:lineRule="auto"/>
        <w:ind w:firstLine="480" w:firstLineChars="200"/>
        <w:rPr>
          <w:rFonts w:ascii="Arial Narrow" w:hAnsi="Arial Narrow" w:cs="Arial Narrow"/>
          <w:bCs/>
          <w:color w:val="000000"/>
          <w:sz w:val="24"/>
        </w:rPr>
      </w:pPr>
      <w:r>
        <w:rPr>
          <w:rFonts w:ascii="Arial Narrow" w:hAnsi="Arial Narrow" w:cs="Arial Narrow"/>
          <w:sz w:val="24"/>
        </w:rPr>
        <w:t>②</w:t>
      </w:r>
      <w:r>
        <w:rPr>
          <w:rFonts w:hint="eastAsia" w:ascii="Arial Narrow" w:hAnsi="Arial Narrow" w:cs="Arial Narrow"/>
          <w:sz w:val="24"/>
        </w:rPr>
        <w:t>考核达标率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通过查阅相关资料，自评小组了解到2019年度辅警工作考核达标率为85%，未完成目标，扣2分，该指标得分为4分。未完成原因：部分辅警工作能能力有待提升。</w:t>
      </w:r>
    </w:p>
    <w:p w14:paraId="720D58BD">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③辅警出勤率（</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通过查阅相关资料，自评小组了解到2019年度辅警出勤率达到95%，该指标得分为6分。</w:t>
      </w:r>
    </w:p>
    <w:p w14:paraId="05122E78">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④交通事故中拖运及施救率（</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通过查阅相关资料，自评小组了解到2019年度对交通事故中涉事车辆拖运率为100%，该指标得分为6分。</w:t>
      </w:r>
    </w:p>
    <w:p w14:paraId="258D62F9">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⑤执法差错率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通过查阅相关资料，自评小组了解到2019年警员工作认真负责，未发生错误执法事件，该指标得分为6分。</w:t>
      </w:r>
    </w:p>
    <w:p w14:paraId="3C1AB8D5">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⑥单警装备达标率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通过查阅相关资料，自评小组了解到单警装备100%达标，该指标得分为6分。</w:t>
      </w:r>
    </w:p>
    <w:p w14:paraId="68319D11">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⑦122接警响应时间达标率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通过查阅相关资料，自评小组了解到122接警时间控制在控制在目标范围内，该指标得分为6分。</w:t>
      </w:r>
    </w:p>
    <w:p w14:paraId="52637F46">
      <w:pPr>
        <w:spacing w:line="360" w:lineRule="auto"/>
        <w:ind w:firstLine="480" w:firstLineChars="200"/>
        <w:rPr>
          <w:rFonts w:ascii="Arial Narrow" w:hAnsi="Arial Narrow" w:cs="Arial Narrow"/>
          <w:sz w:val="24"/>
        </w:rPr>
      </w:pPr>
      <w:r>
        <w:rPr>
          <w:rFonts w:ascii="Arial Narrow" w:hAnsi="Arial Narrow" w:cs="Arial Narrow"/>
          <w:sz w:val="24"/>
        </w:rPr>
        <w:t>（2）效益指标</w:t>
      </w:r>
      <w:r>
        <w:rPr>
          <w:rFonts w:ascii="Arial Narrow" w:hAnsi="Arial Narrow" w:cs="Arial Narrow"/>
          <w:bCs/>
          <w:color w:val="000000"/>
          <w:sz w:val="24"/>
        </w:rPr>
        <w:t>（</w:t>
      </w:r>
      <w:r>
        <w:rPr>
          <w:rFonts w:hint="eastAsia" w:ascii="Arial Narrow" w:hAnsi="Arial Narrow" w:cs="Arial Narrow"/>
          <w:bCs/>
          <w:color w:val="000000"/>
          <w:sz w:val="24"/>
        </w:rPr>
        <w:t>18分</w:t>
      </w:r>
      <w:r>
        <w:rPr>
          <w:rFonts w:ascii="Arial Narrow" w:hAnsi="Arial Narrow" w:cs="Arial Narrow"/>
          <w:bCs/>
          <w:color w:val="000000"/>
          <w:sz w:val="24"/>
        </w:rPr>
        <w:t>）</w:t>
      </w:r>
    </w:p>
    <w:p w14:paraId="4E168210">
      <w:pPr>
        <w:spacing w:line="360" w:lineRule="auto"/>
        <w:ind w:firstLine="480" w:firstLineChars="200"/>
        <w:rPr>
          <w:rFonts w:ascii="Arial Narrow" w:hAnsi="Arial Narrow" w:cs="Arial Narrow"/>
          <w:sz w:val="24"/>
        </w:rPr>
      </w:pPr>
      <w:r>
        <w:rPr>
          <w:rFonts w:ascii="Arial Narrow" w:hAnsi="Arial Narrow" w:cs="Arial Narrow"/>
          <w:sz w:val="24"/>
        </w:rPr>
        <w:t>①</w:t>
      </w:r>
      <w:r>
        <w:rPr>
          <w:rFonts w:hint="eastAsia" w:ascii="Arial Narrow" w:hAnsi="Arial Narrow" w:cs="Arial Narrow"/>
          <w:bCs/>
          <w:color w:val="000000"/>
          <w:sz w:val="24"/>
        </w:rPr>
        <w:t>死亡交通肇事逃逸侦破率</w:t>
      </w:r>
      <w:r>
        <w:rPr>
          <w:rFonts w:ascii="Arial Narrow" w:hAnsi="Arial Narrow" w:cs="Arial Narrow"/>
          <w:bCs/>
          <w:color w:val="000000"/>
          <w:sz w:val="24"/>
        </w:rPr>
        <w:t>（</w:t>
      </w:r>
      <w:r>
        <w:rPr>
          <w:rFonts w:hint="eastAsia" w:ascii="Arial Narrow" w:hAnsi="Arial Narrow" w:cs="Arial Narrow"/>
          <w:bCs/>
          <w:color w:val="000000"/>
          <w:sz w:val="24"/>
        </w:rPr>
        <w:t>18分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通过查阅相关资料，自评小组了解到2019年度交通事故死亡案件侦破率100%，交警破案效率的提高有利于提升民众安全感，维护社会和谐稳定，该指标得分为18分。</w:t>
      </w:r>
    </w:p>
    <w:p w14:paraId="50886D4A">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2-4、自评结果</w:t>
      </w:r>
    </w:p>
    <w:p w14:paraId="1CD582AE">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93.48</w:t>
      </w:r>
      <w:r>
        <w:rPr>
          <w:rFonts w:ascii="Arial Narrow" w:hAnsi="Arial Narrow" w:cs="Arial Narrow"/>
          <w:bCs/>
          <w:sz w:val="24"/>
        </w:rPr>
        <w:t>分，自评等级为</w:t>
      </w:r>
      <w:r>
        <w:rPr>
          <w:rFonts w:hint="eastAsia" w:ascii="Arial Narrow" w:hAnsi="Arial Narrow" w:cs="Arial Narrow"/>
          <w:bCs/>
          <w:sz w:val="24"/>
        </w:rPr>
        <w:t>优</w:t>
      </w:r>
      <w:r>
        <w:rPr>
          <w:rFonts w:ascii="Arial Narrow" w:hAnsi="Arial Narrow" w:cs="Arial Narrow"/>
          <w:bCs/>
          <w:sz w:val="24"/>
        </w:rPr>
        <w:t>。详见《</w:t>
      </w:r>
      <w:r>
        <w:rPr>
          <w:rFonts w:hint="eastAsia" w:ascii="Arial Narrow" w:hAnsi="Arial Narrow" w:cs="Arial Narrow"/>
          <w:bCs/>
          <w:sz w:val="24"/>
        </w:rPr>
        <w:t>办案执法保障经费</w:t>
      </w:r>
      <w:r>
        <w:rPr>
          <w:rFonts w:ascii="Arial Narrow" w:hAnsi="Arial Narrow" w:cs="Arial Narrow"/>
          <w:bCs/>
          <w:sz w:val="24"/>
        </w:rPr>
        <w:t>项目支出绩效自评表》（附件</w:t>
      </w:r>
      <w:r>
        <w:rPr>
          <w:rFonts w:hint="eastAsia" w:ascii="Arial Narrow" w:hAnsi="Arial Narrow" w:cs="Arial Narrow"/>
          <w:bCs/>
          <w:sz w:val="24"/>
        </w:rPr>
        <w:t>1.2</w:t>
      </w:r>
      <w:r>
        <w:rPr>
          <w:rFonts w:ascii="Arial Narrow" w:hAnsi="Arial Narrow" w:cs="Arial Narrow"/>
          <w:bCs/>
          <w:sz w:val="24"/>
        </w:rPr>
        <w:t>）</w:t>
      </w:r>
    </w:p>
    <w:p w14:paraId="46031C09">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2-5、主要问题和改进措施</w:t>
      </w:r>
    </w:p>
    <w:p w14:paraId="00576269">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33670128">
      <w:pPr>
        <w:spacing w:line="360" w:lineRule="auto"/>
        <w:ind w:firstLine="480" w:firstLineChars="200"/>
        <w:rPr>
          <w:rFonts w:ascii="Arial Narrow" w:hAnsi="Arial Narrow" w:cs="Arial Narrow"/>
          <w:sz w:val="24"/>
        </w:rPr>
      </w:pPr>
      <w:r>
        <w:rPr>
          <w:rFonts w:hint="eastAsia" w:ascii="Arial Narrow" w:hAnsi="Arial Narrow" w:cs="Arial Narrow"/>
          <w:sz w:val="24"/>
        </w:rPr>
        <w:t>①本年度军运会交通保障及城市施工项目较多，警力配备、警力保障困难，部分辅警工作能力有待提升。</w:t>
      </w:r>
    </w:p>
    <w:p w14:paraId="11A4190D">
      <w:pPr>
        <w:numPr>
          <w:ilvl w:val="0"/>
          <w:numId w:val="1"/>
        </w:numPr>
        <w:spacing w:line="360" w:lineRule="auto"/>
        <w:ind w:firstLine="480" w:firstLineChars="200"/>
        <w:rPr>
          <w:rFonts w:ascii="Arial Narrow" w:hAnsi="Arial Narrow" w:cs="Arial Narrow"/>
          <w:sz w:val="24"/>
        </w:rPr>
      </w:pPr>
      <w:r>
        <w:rPr>
          <w:rFonts w:hint="eastAsia" w:ascii="Arial Narrow" w:hAnsi="Arial Narrow" w:cs="Arial Narrow"/>
          <w:sz w:val="24"/>
        </w:rPr>
        <w:t>改进措施</w:t>
      </w:r>
    </w:p>
    <w:p w14:paraId="5F61CE74">
      <w:pPr>
        <w:spacing w:line="360" w:lineRule="auto"/>
        <w:ind w:firstLine="480" w:firstLineChars="200"/>
        <w:rPr>
          <w:rFonts w:ascii="Arial Narrow" w:hAnsi="Arial Narrow" w:cs="Arial Narrow"/>
          <w:sz w:val="24"/>
        </w:rPr>
      </w:pPr>
      <w:r>
        <w:rPr>
          <w:rFonts w:hint="eastAsia" w:ascii="Arial Narrow" w:hAnsi="Arial Narrow" w:cs="Arial Narrow"/>
          <w:sz w:val="24"/>
        </w:rPr>
        <w:t>①进一步优化工作方法，强化辅警人员的专业素质，提升业务能力。</w:t>
      </w:r>
    </w:p>
    <w:p w14:paraId="463A23F6">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3.设施建设维护经费</w:t>
      </w:r>
    </w:p>
    <w:p w14:paraId="3F827CD1">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3-1、项目基本情况</w:t>
      </w:r>
    </w:p>
    <w:p w14:paraId="0BFB3FB6">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40C7DE2B">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2019年世界军人运动会将在武汉市召开，洪山区的交通安保任务较为繁重，比赛场馆分散，警卫线路长，除规定的正常线路外，一些应急备用线路的交通设施理应完善；新建小区与交通组织发生矛盾，一些小区投入使用后，门前道路交通设施不配套，需要完善；交通事故中交通设施撞损率不断上升，维修及更换增加；突发警情和天气状况的发生，改变道路通行时不断给交通管理和设施增加了新的需求，损耗情况严重；交通警卫工作频繁，武汉每年一度的“汉马”比赛和各项警卫工作要求不断提高，急需增设护栏、锥形桶等交通设施情况时有发生。</w:t>
      </w:r>
    </w:p>
    <w:p w14:paraId="4EA2E22D">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59CBA7EC">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①《关于深化开展交通安全宣传“五进”活动的工作意见》公交管【2004】185号；</w:t>
      </w:r>
    </w:p>
    <w:p w14:paraId="74F5DED3">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②《2018年洪山区道路交通安全隐患整改工程可行性研究报告》；</w:t>
      </w:r>
    </w:p>
    <w:p w14:paraId="1772398B">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③《2018年全市公安交管工作要点》；</w:t>
      </w:r>
    </w:p>
    <w:p w14:paraId="14164AC3">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④《2018年交通安全宣传教育重点工作责任分工》</w:t>
      </w:r>
    </w:p>
    <w:p w14:paraId="363ED655">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43D0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3B15D43">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665399C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303F10E1">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7E775A4E">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0A6B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D584EC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交通安全隐患整改</w:t>
            </w:r>
          </w:p>
        </w:tc>
        <w:tc>
          <w:tcPr>
            <w:tcW w:w="1485" w:type="dxa"/>
            <w:vAlign w:val="center"/>
          </w:tcPr>
          <w:p w14:paraId="2FD23FB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400.00</w:t>
            </w:r>
          </w:p>
        </w:tc>
        <w:tc>
          <w:tcPr>
            <w:tcW w:w="1500" w:type="dxa"/>
            <w:vAlign w:val="center"/>
          </w:tcPr>
          <w:p w14:paraId="2FE253A0">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18AEF14D">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400.00</w:t>
            </w:r>
          </w:p>
        </w:tc>
      </w:tr>
      <w:tr w14:paraId="71B0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269" w:type="dxa"/>
            <w:vAlign w:val="center"/>
          </w:tcPr>
          <w:p w14:paraId="664D97E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交通管理业务经费</w:t>
            </w:r>
          </w:p>
        </w:tc>
        <w:tc>
          <w:tcPr>
            <w:tcW w:w="1485" w:type="dxa"/>
            <w:vAlign w:val="center"/>
          </w:tcPr>
          <w:p w14:paraId="49C9B04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760.00</w:t>
            </w:r>
          </w:p>
        </w:tc>
        <w:tc>
          <w:tcPr>
            <w:tcW w:w="1500" w:type="dxa"/>
            <w:vAlign w:val="center"/>
          </w:tcPr>
          <w:p w14:paraId="597C0CC0">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0701F8B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760.00</w:t>
            </w:r>
          </w:p>
        </w:tc>
      </w:tr>
      <w:tr w14:paraId="3F1F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1756D997">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w:t>
            </w:r>
          </w:p>
        </w:tc>
        <w:tc>
          <w:tcPr>
            <w:tcW w:w="1485" w:type="dxa"/>
            <w:vAlign w:val="center"/>
          </w:tcPr>
          <w:p w14:paraId="79E635EA">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1160.00</w:t>
            </w:r>
          </w:p>
        </w:tc>
        <w:tc>
          <w:tcPr>
            <w:tcW w:w="1500" w:type="dxa"/>
            <w:vAlign w:val="center"/>
          </w:tcPr>
          <w:p w14:paraId="0FAF5DD4">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w:t>
            </w:r>
          </w:p>
        </w:tc>
        <w:tc>
          <w:tcPr>
            <w:tcW w:w="1268" w:type="dxa"/>
            <w:vAlign w:val="center"/>
          </w:tcPr>
          <w:p w14:paraId="55AF3F64">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1160.00</w:t>
            </w:r>
          </w:p>
        </w:tc>
      </w:tr>
    </w:tbl>
    <w:p w14:paraId="431769DD">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3-2、项目绩效目标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881"/>
        <w:gridCol w:w="1146"/>
      </w:tblGrid>
      <w:tr w14:paraId="7B28CD58">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52D6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AEA3C">
            <w:pPr>
              <w:widowControl/>
              <w:spacing w:line="360" w:lineRule="auto"/>
              <w:ind w:firstLine="420" w:firstLineChars="20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按照国家相关法律法规要求加强自身职能建设，整改交通安全隐患，营造人民满意的交通安全秩序</w:t>
            </w:r>
            <w:r>
              <w:rPr>
                <w:rFonts w:hint="eastAsia" w:ascii="Arial Narrow" w:hAnsi="Arial Narrow" w:cs="Arial Narrow"/>
                <w:bCs/>
                <w:color w:val="000000"/>
                <w:sz w:val="21"/>
                <w:szCs w:val="21"/>
              </w:rPr>
              <w:t>。</w:t>
            </w:r>
          </w:p>
        </w:tc>
      </w:tr>
      <w:tr w14:paraId="0D4A4E93">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75AA91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5EEF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C324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16D0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0E8A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1CFE3BAF">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6B51333">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AE756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ABD3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数量指标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9EE26">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整改路段特大交通事故次数</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521BB8">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0次</w:t>
            </w:r>
          </w:p>
        </w:tc>
      </w:tr>
      <w:tr w14:paraId="0712EC36">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0447A3F">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E129C47">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21E04">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67192">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交通事故多发点和路段整治率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FBA17">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≥90%</w:t>
            </w:r>
          </w:p>
        </w:tc>
      </w:tr>
      <w:tr w14:paraId="6155B803">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BFC7DA6">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06D45B0">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7387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F258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道路交通安全隐患整改完成率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AF40CC">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100%</w:t>
            </w:r>
          </w:p>
        </w:tc>
      </w:tr>
      <w:tr w14:paraId="2A321BEC">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081262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5A08E10">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6DFFE">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BE77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交通信号灯的规范设置率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CACE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14:paraId="18640BE4">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F65E5E7">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331BF75">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AE4F7">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E9C1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工程项目验收合格率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604D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76280144">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128D942">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72391FE">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48F06">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F932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道路交通安全宣传覆盖区域</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DEF7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所管辖区域全覆盖</w:t>
            </w:r>
          </w:p>
        </w:tc>
      </w:tr>
      <w:tr w14:paraId="0AADA3F5">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7C57C85">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46ED07">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02958">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时效指标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EDBE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路段整改完成时间</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7ED7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3个月</w:t>
            </w:r>
          </w:p>
        </w:tc>
      </w:tr>
      <w:tr w14:paraId="75A2678D">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277AA8C">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3D68DB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7323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社会效益指标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E638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有责事件曝光比率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D6CC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≤3</w:t>
            </w:r>
          </w:p>
        </w:tc>
      </w:tr>
      <w:tr w14:paraId="40774975">
        <w:tblPrEx>
          <w:tblCellMar>
            <w:top w:w="0" w:type="dxa"/>
            <w:left w:w="0" w:type="dxa"/>
            <w:bottom w:w="0" w:type="dxa"/>
            <w:right w:w="0" w:type="dxa"/>
          </w:tblCellMar>
        </w:tblPrEx>
        <w:trPr>
          <w:trHeight w:val="284" w:hRule="atLeast"/>
        </w:trPr>
        <w:tc>
          <w:tcPr>
            <w:tcW w:w="6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B8FF2">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E1D58">
            <w:pPr>
              <w:widowControl/>
              <w:spacing w:line="360" w:lineRule="auto"/>
              <w:jc w:val="center"/>
              <w:textAlignment w:val="center"/>
              <w:rPr>
                <w:rFonts w:ascii="Arial Narrow" w:hAnsi="Arial Narrow" w:cs="Arial Narrow"/>
                <w:bCs/>
                <w:color w:val="000000"/>
                <w:kern w:val="0"/>
                <w:sz w:val="21"/>
                <w:szCs w:val="21"/>
                <w:lang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87822">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服务对象满意度</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58EE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居民投诉率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86352">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下降</w:t>
            </w:r>
          </w:p>
        </w:tc>
      </w:tr>
    </w:tbl>
    <w:p w14:paraId="3B49F355">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3-3、绩效目标实现情况分析</w:t>
      </w:r>
    </w:p>
    <w:p w14:paraId="1F08D7F3">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3-3-1、资金情况分析</w:t>
      </w:r>
    </w:p>
    <w:p w14:paraId="3151577A">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1895A0C4">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w:t>
      </w:r>
      <w:r>
        <w:rPr>
          <w:rFonts w:hint="eastAsia" w:ascii="Arial Narrow" w:hAnsi="Arial Narrow" w:cs="Arial Narrow"/>
          <w:sz w:val="24"/>
        </w:rPr>
        <w:t>，</w:t>
      </w: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设施建设维护经费</w:t>
      </w:r>
      <w:r>
        <w:rPr>
          <w:rFonts w:ascii="Arial Narrow" w:hAnsi="Arial Narrow" w:cs="Arial Narrow"/>
          <w:sz w:val="24"/>
        </w:rPr>
        <w:t>项目”预算批复资金为</w:t>
      </w:r>
      <w:r>
        <w:rPr>
          <w:rFonts w:hint="eastAsia" w:ascii="Arial Narrow" w:hAnsi="Arial Narrow" w:cs="Arial Narrow"/>
          <w:sz w:val="24"/>
        </w:rPr>
        <w:t>1160</w:t>
      </w:r>
      <w:r>
        <w:rPr>
          <w:rFonts w:ascii="Arial Narrow" w:hAnsi="Arial Narrow" w:cs="Arial Narrow"/>
          <w:sz w:val="24"/>
        </w:rPr>
        <w:t>万元，实际到位资金为1160万元，资金到位率100%。资金来源于区级财政预算资金</w:t>
      </w:r>
      <w:r>
        <w:rPr>
          <w:rFonts w:hint="eastAsia" w:ascii="Arial Narrow" w:hAnsi="Arial Narrow" w:cs="Arial Narrow"/>
          <w:sz w:val="24"/>
        </w:rPr>
        <w:t>。</w:t>
      </w:r>
    </w:p>
    <w:p w14:paraId="3F453095">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5C659281">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通过查阅《2019年度项目支出预算执行情况表》，自评小组了解到2019年项目预算金额为1160万元，实际使用金额为1103.30 万元，资金使用率为95.11%。</w:t>
      </w:r>
    </w:p>
    <w:p w14:paraId="3FB2388E">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3-3-2、绩效指标完成情况分析</w:t>
      </w:r>
    </w:p>
    <w:p w14:paraId="33306352">
      <w:pPr>
        <w:spacing w:line="360" w:lineRule="auto"/>
        <w:ind w:firstLine="480" w:firstLineChars="200"/>
        <w:rPr>
          <w:rFonts w:ascii="Arial Narrow" w:hAnsi="Arial Narrow" w:cs="Arial Narrow"/>
          <w:sz w:val="24"/>
        </w:rPr>
      </w:pPr>
      <w:r>
        <w:rPr>
          <w:rFonts w:ascii="Arial Narrow" w:hAnsi="Arial Narrow" w:cs="Arial Narrow"/>
          <w:sz w:val="24"/>
        </w:rPr>
        <w:t>（1）产出指标（4</w:t>
      </w:r>
      <w:r>
        <w:rPr>
          <w:rFonts w:hint="eastAsia" w:ascii="Arial Narrow" w:hAnsi="Arial Narrow" w:cs="Arial Narrow"/>
          <w:sz w:val="24"/>
        </w:rPr>
        <w:t>2</w:t>
      </w:r>
      <w:r>
        <w:rPr>
          <w:rFonts w:ascii="Arial Narrow" w:hAnsi="Arial Narrow" w:cs="Arial Narrow"/>
          <w:sz w:val="24"/>
        </w:rPr>
        <w:t>分）</w:t>
      </w:r>
    </w:p>
    <w:p w14:paraId="625F226B">
      <w:pPr>
        <w:spacing w:line="360" w:lineRule="auto"/>
        <w:ind w:firstLine="480" w:firstLineChars="200"/>
        <w:rPr>
          <w:rFonts w:ascii="Arial Narrow" w:hAnsi="Arial Narrow" w:cs="Arial Narrow"/>
          <w:sz w:val="24"/>
        </w:rPr>
      </w:pPr>
      <w:r>
        <w:rPr>
          <w:rFonts w:ascii="Arial Narrow" w:hAnsi="Arial Narrow" w:cs="Arial Narrow"/>
          <w:sz w:val="24"/>
        </w:rPr>
        <w:t>①整改路段特大交通事故次数</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通过查阅相关资料，自评小组了解到2019年度整改路段未发生特大交通事故，达到目标，该指标得分为6分。</w:t>
      </w:r>
    </w:p>
    <w:p w14:paraId="76B856B5">
      <w:pPr>
        <w:spacing w:line="360" w:lineRule="auto"/>
        <w:ind w:firstLine="480" w:firstLineChars="200"/>
        <w:rPr>
          <w:rFonts w:ascii="Arial Narrow" w:hAnsi="Arial Narrow" w:cs="Arial Narrow"/>
          <w:sz w:val="24"/>
        </w:rPr>
      </w:pPr>
      <w:r>
        <w:rPr>
          <w:rFonts w:ascii="Arial Narrow" w:hAnsi="Arial Narrow" w:cs="Arial Narrow"/>
          <w:sz w:val="24"/>
        </w:rPr>
        <w:t>②交通事故多发点和路段整治率</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通过查阅相关资料，自评小组了解到2019年对辖区19处待整改路段进行整改，达到“应整尽整”目标，该指标得分为6分。</w:t>
      </w:r>
    </w:p>
    <w:p w14:paraId="18E356EA">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③道路交通安全隐患整改完成率（6分）。</w:t>
      </w:r>
      <w:r>
        <w:rPr>
          <w:rFonts w:hint="eastAsia" w:ascii="Arial Narrow" w:hAnsi="Arial Narrow" w:cs="Arial Narrow"/>
          <w:bCs/>
          <w:color w:val="000000"/>
          <w:sz w:val="24"/>
        </w:rPr>
        <w:t>通过查阅相关资料，自评小组了解到2019年辖区19处待整改路段全部完成整改，完成率达到100%，该指标得分为6分。</w:t>
      </w:r>
    </w:p>
    <w:p w14:paraId="648A1DE8">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④交通信号灯的规范设置率（6分）。</w:t>
      </w:r>
      <w:r>
        <w:rPr>
          <w:rFonts w:hint="eastAsia" w:ascii="Arial Narrow" w:hAnsi="Arial Narrow" w:cs="Arial Narrow"/>
          <w:bCs/>
          <w:color w:val="000000"/>
          <w:sz w:val="24"/>
        </w:rPr>
        <w:t>通过查阅相关资料，自评小组了解到交通信号灯规范设置率达到100%，该指标得分为6分。</w:t>
      </w:r>
    </w:p>
    <w:p w14:paraId="21AA3163">
      <w:pPr>
        <w:spacing w:line="360" w:lineRule="auto"/>
        <w:ind w:firstLine="480" w:firstLineChars="200"/>
        <w:rPr>
          <w:rFonts w:ascii="Arial Narrow" w:hAnsi="Arial Narrow" w:cs="Arial Narrow"/>
          <w:bCs/>
          <w:color w:val="000000"/>
          <w:sz w:val="24"/>
        </w:rPr>
      </w:pPr>
      <w:r>
        <w:rPr>
          <w:rFonts w:ascii="Arial Narrow" w:hAnsi="Arial Narrow" w:cs="Arial Narrow"/>
          <w:sz w:val="24"/>
        </w:rPr>
        <w:t>⑤工程项目验收合格率</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通过查阅相关资料，自评小组了解到2019年部分项目验收不合格，合格率仅95%，未完成目标，扣2分，该指标得分为4分。</w:t>
      </w:r>
    </w:p>
    <w:p w14:paraId="19357038">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⑥道路交通安全宣传覆盖区域（6分）。</w:t>
      </w:r>
      <w:r>
        <w:rPr>
          <w:rFonts w:hint="eastAsia" w:ascii="Arial Narrow" w:hAnsi="Arial Narrow" w:cs="Arial Narrow"/>
          <w:bCs/>
          <w:color w:val="000000"/>
          <w:sz w:val="24"/>
        </w:rPr>
        <w:t>通过查阅相关资料，自评小组了解到为提升辖区内居民交通安全意识，在全区内开展了道路交通安全宣传活动，覆盖率达到100%，该指标得分为6分。</w:t>
      </w:r>
    </w:p>
    <w:p w14:paraId="321ED23C">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⑦路段整改完成时间（6分）。</w:t>
      </w:r>
      <w:r>
        <w:rPr>
          <w:rFonts w:hint="eastAsia" w:ascii="Arial Narrow" w:hAnsi="Arial Narrow" w:cs="Arial Narrow"/>
          <w:bCs/>
          <w:color w:val="000000"/>
          <w:sz w:val="24"/>
        </w:rPr>
        <w:t>通过查阅相关资料，自评小组了解到道路整改工作在3个月内完成，达到目标，该指标得分为6分。</w:t>
      </w:r>
    </w:p>
    <w:p w14:paraId="637422FC">
      <w:pPr>
        <w:spacing w:line="360" w:lineRule="auto"/>
        <w:ind w:firstLine="480" w:firstLineChars="200"/>
        <w:rPr>
          <w:rFonts w:ascii="Arial Narrow" w:hAnsi="Arial Narrow" w:cs="Arial Narrow"/>
          <w:sz w:val="24"/>
        </w:rPr>
      </w:pPr>
      <w:r>
        <w:rPr>
          <w:rFonts w:ascii="Arial Narrow" w:hAnsi="Arial Narrow" w:cs="Arial Narrow"/>
          <w:sz w:val="24"/>
        </w:rPr>
        <w:t>（2）效益指标</w:t>
      </w:r>
      <w:r>
        <w:rPr>
          <w:rFonts w:hint="eastAsia" w:ascii="Arial Narrow" w:hAnsi="Arial Narrow" w:cs="Arial Narrow"/>
          <w:sz w:val="24"/>
        </w:rPr>
        <w:t>（18分）</w:t>
      </w:r>
    </w:p>
    <w:p w14:paraId="796EF98E">
      <w:pPr>
        <w:spacing w:line="360" w:lineRule="auto"/>
        <w:ind w:firstLine="480" w:firstLineChars="200"/>
        <w:rPr>
          <w:rFonts w:ascii="Arial Narrow" w:hAnsi="Arial Narrow" w:cs="Arial Narrow"/>
          <w:bCs/>
          <w:color w:val="000000"/>
          <w:sz w:val="24"/>
        </w:rPr>
      </w:pPr>
      <w:r>
        <w:rPr>
          <w:rFonts w:ascii="Arial Narrow" w:hAnsi="Arial Narrow" w:cs="Arial Narrow"/>
          <w:sz w:val="24"/>
        </w:rPr>
        <w:t>①有责事件曝光比率</w:t>
      </w:r>
      <w:r>
        <w:rPr>
          <w:rFonts w:ascii="Arial Narrow" w:hAnsi="Arial Narrow" w:cs="Arial Narrow"/>
          <w:bCs/>
          <w:color w:val="000000"/>
          <w:sz w:val="24"/>
        </w:rPr>
        <w:t>（</w:t>
      </w:r>
      <w:r>
        <w:rPr>
          <w:rFonts w:hint="eastAsia" w:ascii="Arial Narrow" w:hAnsi="Arial Narrow" w:cs="Arial Narrow"/>
          <w:bCs/>
          <w:color w:val="000000"/>
          <w:sz w:val="24"/>
        </w:rPr>
        <w:t>9分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通过查阅相关资料，自评小组了解到2019年媒体全年正面、负面报道比例控制在3:1内，达到目标，该指标得分为9分。</w:t>
      </w:r>
    </w:p>
    <w:p w14:paraId="3168BEE3">
      <w:pPr>
        <w:spacing w:line="360" w:lineRule="auto"/>
        <w:ind w:firstLine="480" w:firstLineChars="200"/>
        <w:rPr>
          <w:rFonts w:ascii="Arial Narrow" w:hAnsi="Arial Narrow" w:cs="Arial Narrow"/>
          <w:sz w:val="24"/>
        </w:rPr>
      </w:pPr>
      <w:r>
        <w:rPr>
          <w:rFonts w:ascii="Arial Narrow" w:hAnsi="Arial Narrow" w:cs="Arial Narrow"/>
          <w:sz w:val="24"/>
        </w:rPr>
        <w:t>②居民投诉率</w:t>
      </w:r>
      <w:r>
        <w:rPr>
          <w:rFonts w:ascii="Arial Narrow" w:hAnsi="Arial Narrow" w:cs="Arial Narrow"/>
          <w:bCs/>
          <w:color w:val="000000"/>
          <w:sz w:val="24"/>
        </w:rPr>
        <w:t>（</w:t>
      </w:r>
      <w:r>
        <w:rPr>
          <w:rFonts w:hint="eastAsia" w:ascii="Arial Narrow" w:hAnsi="Arial Narrow" w:cs="Arial Narrow"/>
          <w:bCs/>
          <w:color w:val="000000"/>
          <w:sz w:val="24"/>
        </w:rPr>
        <w:t>9</w:t>
      </w:r>
      <w:r>
        <w:rPr>
          <w:rFonts w:ascii="Arial Narrow" w:hAnsi="Arial Narrow" w:cs="Arial Narrow"/>
          <w:bCs/>
          <w:color w:val="000000"/>
          <w:sz w:val="24"/>
        </w:rPr>
        <w:t>分）。</w:t>
      </w:r>
      <w:r>
        <w:rPr>
          <w:rFonts w:hint="eastAsia" w:ascii="Arial Narrow" w:hAnsi="Arial Narrow" w:cs="Arial Narrow"/>
          <w:bCs/>
          <w:color w:val="000000"/>
          <w:sz w:val="24"/>
        </w:rPr>
        <w:t>通过查阅相关资料，自评小组了解到2019年居民投诉率与2018年持平，交警工作还有待进一步提高，扣2分，该指标得分为7分。未完成原因：由于路段整改过程中交通不便等原因，区民投诉率未下降。</w:t>
      </w:r>
    </w:p>
    <w:p w14:paraId="1A6FDF83">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3-4、自评结果</w:t>
      </w:r>
    </w:p>
    <w:p w14:paraId="50DE5E49">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92.02</w:t>
      </w:r>
      <w:r>
        <w:rPr>
          <w:rFonts w:ascii="Arial Narrow" w:hAnsi="Arial Narrow" w:cs="Arial Narrow"/>
          <w:bCs/>
          <w:sz w:val="24"/>
        </w:rPr>
        <w:t>分，自评等级为</w:t>
      </w:r>
      <w:r>
        <w:rPr>
          <w:rFonts w:hint="eastAsia" w:ascii="Arial Narrow" w:hAnsi="Arial Narrow" w:cs="Arial Narrow"/>
          <w:bCs/>
          <w:sz w:val="24"/>
        </w:rPr>
        <w:t>优</w:t>
      </w:r>
      <w:r>
        <w:rPr>
          <w:rFonts w:ascii="Arial Narrow" w:hAnsi="Arial Narrow" w:cs="Arial Narrow"/>
          <w:bCs/>
          <w:sz w:val="24"/>
        </w:rPr>
        <w:t>。详见《</w:t>
      </w:r>
      <w:r>
        <w:rPr>
          <w:rFonts w:hint="eastAsia" w:ascii="Arial Narrow" w:hAnsi="Arial Narrow" w:cs="Arial Narrow"/>
          <w:bCs/>
          <w:sz w:val="24"/>
        </w:rPr>
        <w:t>设施建设维护经费</w:t>
      </w:r>
      <w:r>
        <w:rPr>
          <w:rFonts w:ascii="Arial Narrow" w:hAnsi="Arial Narrow" w:cs="Arial Narrow"/>
          <w:bCs/>
          <w:sz w:val="24"/>
        </w:rPr>
        <w:t>项目支出绩效自评表》（附件</w:t>
      </w:r>
      <w:r>
        <w:rPr>
          <w:rFonts w:hint="eastAsia" w:ascii="Arial Narrow" w:hAnsi="Arial Narrow" w:cs="Arial Narrow"/>
          <w:bCs/>
          <w:sz w:val="24"/>
        </w:rPr>
        <w:t>1.3</w:t>
      </w:r>
      <w:r>
        <w:rPr>
          <w:rFonts w:ascii="Arial Narrow" w:hAnsi="Arial Narrow" w:cs="Arial Narrow"/>
          <w:bCs/>
          <w:sz w:val="24"/>
        </w:rPr>
        <w:t>）</w:t>
      </w:r>
    </w:p>
    <w:p w14:paraId="7DD3EB1C">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3-5、主要问题和改进措施</w:t>
      </w:r>
    </w:p>
    <w:p w14:paraId="45EF9426">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13133CC4">
      <w:pPr>
        <w:spacing w:line="360" w:lineRule="auto"/>
        <w:ind w:firstLine="480" w:firstLineChars="200"/>
        <w:rPr>
          <w:rFonts w:ascii="Arial Narrow" w:hAnsi="Arial Narrow" w:cs="Arial Narrow"/>
          <w:sz w:val="24"/>
        </w:rPr>
      </w:pPr>
      <w:r>
        <w:rPr>
          <w:rFonts w:hint="eastAsia" w:ascii="Arial Narrow" w:hAnsi="Arial Narrow" w:cs="Arial Narrow"/>
          <w:sz w:val="24"/>
        </w:rPr>
        <w:t>①由于施工单位实际工作情况，部分项目验收不合格。</w:t>
      </w:r>
    </w:p>
    <w:p w14:paraId="640EDF34">
      <w:pPr>
        <w:spacing w:line="360" w:lineRule="auto"/>
        <w:ind w:firstLine="480" w:firstLineChars="200"/>
        <w:rPr>
          <w:rFonts w:ascii="Arial Narrow" w:hAnsi="Arial Narrow" w:cs="Arial Narrow"/>
          <w:sz w:val="24"/>
        </w:rPr>
      </w:pPr>
      <w:r>
        <w:rPr>
          <w:rFonts w:ascii="Arial Narrow" w:hAnsi="Arial Narrow" w:cs="Arial Narrow"/>
          <w:sz w:val="24"/>
        </w:rPr>
        <w:t>②由于路段整改过程中交通不便等原因，区民投诉率未下降。</w:t>
      </w:r>
    </w:p>
    <w:p w14:paraId="2995A9FB">
      <w:pPr>
        <w:numPr>
          <w:ilvl w:val="0"/>
          <w:numId w:val="1"/>
        </w:numPr>
        <w:spacing w:line="360" w:lineRule="auto"/>
        <w:ind w:firstLine="480" w:firstLineChars="200"/>
        <w:rPr>
          <w:rFonts w:ascii="Arial Narrow" w:hAnsi="Arial Narrow" w:cs="Arial Narrow"/>
          <w:sz w:val="24"/>
        </w:rPr>
      </w:pPr>
      <w:r>
        <w:rPr>
          <w:rFonts w:hint="eastAsia" w:ascii="Arial Narrow" w:hAnsi="Arial Narrow" w:cs="Arial Narrow"/>
          <w:sz w:val="24"/>
        </w:rPr>
        <w:t>改进措施</w:t>
      </w:r>
    </w:p>
    <w:p w14:paraId="6DA6BEB9">
      <w:pPr>
        <w:spacing w:line="360" w:lineRule="auto"/>
        <w:ind w:firstLine="480" w:firstLineChars="200"/>
        <w:rPr>
          <w:rFonts w:ascii="Arial Narrow" w:hAnsi="Arial Narrow" w:cs="Arial Narrow"/>
          <w:sz w:val="24"/>
        </w:rPr>
      </w:pPr>
      <w:r>
        <w:rPr>
          <w:rFonts w:hint="eastAsia" w:ascii="Arial Narrow" w:hAnsi="Arial Narrow" w:cs="Arial Narrow"/>
          <w:sz w:val="24"/>
        </w:rPr>
        <w:t>①严格把控项目质量，实施全程监督、管理。</w:t>
      </w:r>
    </w:p>
    <w:p w14:paraId="30EFB66B">
      <w:pPr>
        <w:spacing w:line="360" w:lineRule="auto"/>
        <w:ind w:firstLine="480" w:firstLineChars="200"/>
        <w:rPr>
          <w:rFonts w:ascii="Arial Narrow" w:hAnsi="Arial Narrow" w:cs="Arial Narrow"/>
          <w:sz w:val="24"/>
        </w:rPr>
      </w:pPr>
      <w:r>
        <w:rPr>
          <w:rFonts w:ascii="Arial Narrow" w:hAnsi="Arial Narrow" w:cs="Arial Narrow"/>
          <w:sz w:val="24"/>
        </w:rPr>
        <w:t>②做好道路交通管理</w:t>
      </w:r>
      <w:r>
        <w:rPr>
          <w:rFonts w:hint="eastAsia" w:ascii="Arial Narrow" w:hAnsi="Arial Narrow" w:cs="Arial Narrow"/>
          <w:sz w:val="24"/>
        </w:rPr>
        <w:t>宣传解释工作</w:t>
      </w:r>
      <w:r>
        <w:rPr>
          <w:rFonts w:ascii="Arial Narrow" w:hAnsi="Arial Narrow" w:cs="Arial Narrow"/>
          <w:sz w:val="24"/>
        </w:rPr>
        <w:t>，</w:t>
      </w:r>
      <w:r>
        <w:rPr>
          <w:rFonts w:hint="eastAsia" w:ascii="Arial Narrow" w:hAnsi="Arial Narrow" w:cs="Arial Narrow"/>
          <w:sz w:val="24"/>
        </w:rPr>
        <w:t>对重点路段、密集区域增派警力疏导，</w:t>
      </w:r>
      <w:r>
        <w:rPr>
          <w:rFonts w:ascii="Arial Narrow" w:hAnsi="Arial Narrow" w:cs="Arial Narrow"/>
          <w:sz w:val="24"/>
        </w:rPr>
        <w:t>提升居民满意度。</w:t>
      </w:r>
    </w:p>
    <w:p w14:paraId="77360068">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4.</w:t>
      </w:r>
      <w:r>
        <w:rPr>
          <w:rFonts w:hint="eastAsia" w:ascii="Arial Narrow" w:hAnsi="Arial Narrow" w:cs="Arial Narrow"/>
          <w:b/>
          <w:bCs/>
          <w:sz w:val="28"/>
          <w:szCs w:val="28"/>
        </w:rPr>
        <w:t>信息化类经费</w:t>
      </w:r>
    </w:p>
    <w:p w14:paraId="6DBA984E">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4-1、项目基本情况</w:t>
      </w:r>
    </w:p>
    <w:p w14:paraId="2A71D25C">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6B9FEE28">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 xml:space="preserve"> 完善交通安全防控体系，</w:t>
      </w:r>
      <w:r>
        <w:rPr>
          <w:rFonts w:hint="eastAsia" w:ascii="Arial Narrow" w:hAnsi="Arial Narrow" w:cs="Arial Narrow"/>
          <w:bCs/>
          <w:sz w:val="24"/>
        </w:rPr>
        <w:t>在</w:t>
      </w:r>
      <w:r>
        <w:rPr>
          <w:rFonts w:ascii="Arial Narrow" w:hAnsi="Arial Narrow" w:cs="Arial Narrow"/>
          <w:bCs/>
          <w:sz w:val="24"/>
        </w:rPr>
        <w:t>重点路段、路口建设抓拍系统，进一步压缩</w:t>
      </w:r>
      <w:r>
        <w:rPr>
          <w:rFonts w:hint="eastAsia" w:ascii="Arial Narrow" w:hAnsi="Arial Narrow" w:cs="Arial Narrow"/>
          <w:bCs/>
          <w:sz w:val="24"/>
        </w:rPr>
        <w:t>监控</w:t>
      </w:r>
      <w:r>
        <w:rPr>
          <w:rFonts w:ascii="Arial Narrow" w:hAnsi="Arial Narrow" w:cs="Arial Narrow"/>
          <w:bCs/>
          <w:sz w:val="24"/>
        </w:rPr>
        <w:t>盲点，提升查处效能，扩大</w:t>
      </w:r>
      <w:r>
        <w:rPr>
          <w:rFonts w:hint="eastAsia" w:ascii="Arial Narrow" w:hAnsi="Arial Narrow" w:cs="Arial Narrow"/>
          <w:bCs/>
          <w:sz w:val="24"/>
          <w:lang w:val="en-US" w:eastAsia="zh-CN"/>
        </w:rPr>
        <w:t>震慑</w:t>
      </w:r>
      <w:bookmarkStart w:id="0" w:name="_GoBack"/>
      <w:bookmarkEnd w:id="0"/>
      <w:r>
        <w:rPr>
          <w:rFonts w:ascii="Arial Narrow" w:hAnsi="Arial Narrow" w:cs="Arial Narrow"/>
          <w:bCs/>
          <w:sz w:val="24"/>
        </w:rPr>
        <w:t>作用，减少交通事故发生，规范通行秩序。</w:t>
      </w:r>
    </w:p>
    <w:p w14:paraId="71807375">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67DA4451">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①《关于进一步加强机动车礼让斑马线和电动自行车通行秩序管理》（公交管【2017】333号）；</w:t>
      </w:r>
    </w:p>
    <w:p w14:paraId="3B7BB829">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②武汉市公安局警务指挥部关于印发&lt;全市道路交通安全“三位一体”防控体系建设方案&gt;的通知》（武公指【2014】56号）；</w:t>
      </w:r>
    </w:p>
    <w:p w14:paraId="1454C37B">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③《关于印发&lt;武汉市公安局警务指挥体系建设项目区级平台建设规范&gt;的通知》（武公指【2014】87号文件）</w:t>
      </w:r>
    </w:p>
    <w:p w14:paraId="12DBFD35">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666B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1C8DA496">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00EFC92A">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0A050C5B">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7EB7A618">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572C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542671C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交通科技经费</w:t>
            </w:r>
          </w:p>
        </w:tc>
        <w:tc>
          <w:tcPr>
            <w:tcW w:w="1485" w:type="dxa"/>
            <w:vAlign w:val="center"/>
          </w:tcPr>
          <w:p w14:paraId="61E7ACC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110.00</w:t>
            </w:r>
          </w:p>
        </w:tc>
        <w:tc>
          <w:tcPr>
            <w:tcW w:w="1500" w:type="dxa"/>
            <w:vAlign w:val="center"/>
          </w:tcPr>
          <w:p w14:paraId="0FDBD45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7F6EC29B">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110.00</w:t>
            </w:r>
          </w:p>
        </w:tc>
      </w:tr>
      <w:tr w14:paraId="5290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699451A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w:t>
            </w:r>
          </w:p>
        </w:tc>
        <w:tc>
          <w:tcPr>
            <w:tcW w:w="1485" w:type="dxa"/>
            <w:vAlign w:val="center"/>
          </w:tcPr>
          <w:p w14:paraId="7A0D11C9">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110.00</w:t>
            </w:r>
          </w:p>
        </w:tc>
        <w:tc>
          <w:tcPr>
            <w:tcW w:w="1500" w:type="dxa"/>
            <w:vAlign w:val="center"/>
          </w:tcPr>
          <w:p w14:paraId="62704CF8">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w:t>
            </w:r>
          </w:p>
        </w:tc>
        <w:tc>
          <w:tcPr>
            <w:tcW w:w="1268" w:type="dxa"/>
            <w:vAlign w:val="center"/>
          </w:tcPr>
          <w:p w14:paraId="0945B72A">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110.00</w:t>
            </w:r>
          </w:p>
        </w:tc>
      </w:tr>
    </w:tbl>
    <w:p w14:paraId="0C27CCA3">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4-2、项目绩效目标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881"/>
        <w:gridCol w:w="1146"/>
      </w:tblGrid>
      <w:tr w14:paraId="238B8E57">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2322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9D636">
            <w:pPr>
              <w:widowControl/>
              <w:spacing w:line="360" w:lineRule="auto"/>
              <w:ind w:firstLine="420" w:firstLineChars="20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按照国家相关法律法规要求，加强自身职能建设，执法为民营造人民满意的交通秩序及环境</w:t>
            </w:r>
            <w:r>
              <w:rPr>
                <w:rFonts w:hint="eastAsia" w:ascii="Arial Narrow" w:hAnsi="Arial Narrow" w:cs="Arial Narrow"/>
                <w:bCs/>
                <w:color w:val="000000"/>
                <w:sz w:val="21"/>
                <w:szCs w:val="21"/>
              </w:rPr>
              <w:t>。</w:t>
            </w:r>
          </w:p>
        </w:tc>
      </w:tr>
      <w:tr w14:paraId="04FB7668">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0665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2DD1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7974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2C72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DCBA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24E8F6ED">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A1CFE">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F37125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86EAC">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AA41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严重交通违法行为导致事故比例</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6A80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≦6%</w:t>
            </w:r>
          </w:p>
        </w:tc>
      </w:tr>
      <w:tr w14:paraId="4869816C">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5A888">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92F395B">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82AA2">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842C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路口监控设备设置率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6691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14:paraId="5DC8C7DD">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6FAAF">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51BB502">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BF8B9">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1B9B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交通技术监控设施利用率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BF23A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≧80%</w:t>
            </w:r>
          </w:p>
        </w:tc>
      </w:tr>
      <w:tr w14:paraId="4481B78C">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85A93">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7A7ABD2">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758D9">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87A9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信号灯路口机动车守法率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2B83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≧98%</w:t>
            </w:r>
          </w:p>
        </w:tc>
      </w:tr>
      <w:tr w14:paraId="4D985FD5">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B5E16">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5053EDF">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9B26E">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EC90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信号灯路口非机动车守法率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82EBA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14:paraId="49A42E4B">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13E40">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9DE0F37">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A9563">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1B9B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信号灯路口行人守法率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EE85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≧85%</w:t>
            </w:r>
          </w:p>
        </w:tc>
      </w:tr>
      <w:tr w14:paraId="6F766C3F">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0C12C">
            <w:pPr>
              <w:spacing w:line="360" w:lineRule="auto"/>
              <w:jc w:val="center"/>
              <w:rPr>
                <w:rFonts w:ascii="Arial Narrow" w:hAnsi="Arial Narrow" w:cs="Arial Narrow"/>
                <w:bCs/>
                <w:color w:val="000000"/>
                <w:sz w:val="21"/>
                <w:szCs w:val="21"/>
              </w:rPr>
            </w:pPr>
          </w:p>
        </w:tc>
        <w:tc>
          <w:tcPr>
            <w:tcW w:w="1213" w:type="dxa"/>
            <w:tcBorders>
              <w:left w:val="single" w:color="000000" w:sz="4" w:space="0"/>
              <w:right w:val="single" w:color="000000" w:sz="4" w:space="0"/>
            </w:tcBorders>
            <w:shd w:val="clear" w:color="auto" w:fill="auto"/>
            <w:tcMar>
              <w:top w:w="15" w:type="dxa"/>
              <w:left w:w="15" w:type="dxa"/>
              <w:right w:w="15" w:type="dxa"/>
            </w:tcMar>
            <w:vAlign w:val="center"/>
          </w:tcPr>
          <w:p w14:paraId="5E4F8B3A">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D0C89">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时效</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F69CC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设备监控时段</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E9D3FD">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实时监控</w:t>
            </w:r>
          </w:p>
        </w:tc>
      </w:tr>
      <w:tr w14:paraId="65C026D2">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396D6">
            <w:pPr>
              <w:spacing w:line="360" w:lineRule="auto"/>
              <w:jc w:val="center"/>
              <w:rPr>
                <w:rFonts w:ascii="Arial Narrow" w:hAnsi="Arial Narrow" w:cs="Arial Narrow"/>
                <w:bCs/>
                <w:color w:val="000000"/>
                <w:sz w:val="21"/>
                <w:szCs w:val="21"/>
              </w:rPr>
            </w:pPr>
          </w:p>
        </w:tc>
        <w:tc>
          <w:tcPr>
            <w:tcW w:w="1213" w:type="dxa"/>
            <w:tcBorders>
              <w:left w:val="single" w:color="000000" w:sz="4" w:space="0"/>
              <w:right w:val="single" w:color="000000" w:sz="4" w:space="0"/>
            </w:tcBorders>
            <w:shd w:val="clear" w:color="auto" w:fill="auto"/>
            <w:tcMar>
              <w:top w:w="15" w:type="dxa"/>
              <w:left w:w="15" w:type="dxa"/>
              <w:right w:w="15" w:type="dxa"/>
            </w:tcMar>
            <w:vAlign w:val="center"/>
          </w:tcPr>
          <w:p w14:paraId="495E6396">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F5526">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时效</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25C9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研判室建设进度</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77A34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完成年度建设计划</w:t>
            </w:r>
          </w:p>
        </w:tc>
      </w:tr>
      <w:tr w14:paraId="3CD76831">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E376F">
            <w:pPr>
              <w:spacing w:line="360" w:lineRule="auto"/>
              <w:jc w:val="center"/>
              <w:rPr>
                <w:rFonts w:ascii="Arial Narrow" w:hAnsi="Arial Narrow" w:cs="Arial Narrow"/>
                <w:bCs/>
                <w:color w:val="000000"/>
                <w:sz w:val="21"/>
                <w:szCs w:val="21"/>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166E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593FF">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服务对象</w:t>
            </w:r>
          </w:p>
          <w:p w14:paraId="465B5C9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满意度指标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B636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道路交通拥堵情况投诉率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21EEE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下降</w:t>
            </w:r>
          </w:p>
        </w:tc>
      </w:tr>
    </w:tbl>
    <w:p w14:paraId="2EC4E9E8">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4-3、绩效目标实现情况分析</w:t>
      </w:r>
    </w:p>
    <w:p w14:paraId="534E3568">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4-3-1、资金情况分析</w:t>
      </w:r>
    </w:p>
    <w:p w14:paraId="7A63C599">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60A07138">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w:t>
      </w:r>
      <w:r>
        <w:rPr>
          <w:rFonts w:hint="eastAsia" w:ascii="Arial Narrow" w:hAnsi="Arial Narrow" w:cs="Arial Narrow"/>
          <w:sz w:val="24"/>
        </w:rPr>
        <w:t>，</w:t>
      </w: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信息化类经费</w:t>
      </w:r>
      <w:r>
        <w:rPr>
          <w:rFonts w:ascii="Arial Narrow" w:hAnsi="Arial Narrow" w:cs="Arial Narrow"/>
          <w:sz w:val="24"/>
        </w:rPr>
        <w:t>项目”预算批复资金为</w:t>
      </w:r>
      <w:r>
        <w:rPr>
          <w:rFonts w:hint="eastAsia" w:ascii="Arial Narrow" w:hAnsi="Arial Narrow" w:cs="Arial Narrow"/>
          <w:sz w:val="24"/>
        </w:rPr>
        <w:t>110</w:t>
      </w:r>
      <w:r>
        <w:rPr>
          <w:rFonts w:ascii="Arial Narrow" w:hAnsi="Arial Narrow" w:cs="Arial Narrow"/>
          <w:sz w:val="24"/>
        </w:rPr>
        <w:t>万元，实际到位资金为</w:t>
      </w:r>
      <w:r>
        <w:rPr>
          <w:rFonts w:hint="eastAsia" w:ascii="Arial Narrow" w:hAnsi="Arial Narrow" w:cs="Arial Narrow"/>
          <w:sz w:val="24"/>
        </w:rPr>
        <w:t>110</w:t>
      </w:r>
      <w:r>
        <w:rPr>
          <w:rFonts w:ascii="Arial Narrow" w:hAnsi="Arial Narrow" w:cs="Arial Narrow"/>
          <w:sz w:val="24"/>
        </w:rPr>
        <w:t>万元，资金到位率100%。资金来源于区级财政预算资金</w:t>
      </w:r>
      <w:r>
        <w:rPr>
          <w:rFonts w:hint="eastAsia" w:ascii="Arial Narrow" w:hAnsi="Arial Narrow" w:cs="Arial Narrow"/>
          <w:sz w:val="24"/>
        </w:rPr>
        <w:t>。</w:t>
      </w:r>
    </w:p>
    <w:p w14:paraId="06246E41">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3EA65F39">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w:t>
      </w:r>
      <w:r>
        <w:rPr>
          <w:rFonts w:hint="eastAsia" w:ascii="Arial Narrow" w:hAnsi="Arial Narrow" w:cs="Arial Narrow"/>
          <w:sz w:val="24"/>
        </w:rPr>
        <w:t>110</w:t>
      </w:r>
      <w:r>
        <w:rPr>
          <w:rFonts w:ascii="Arial Narrow" w:hAnsi="Arial Narrow" w:cs="Arial Narrow"/>
          <w:sz w:val="24"/>
        </w:rPr>
        <w:t>万元，实际使用金额为</w:t>
      </w:r>
      <w:r>
        <w:rPr>
          <w:rFonts w:hint="eastAsia" w:ascii="Arial Narrow" w:hAnsi="Arial Narrow" w:cs="Arial Narrow"/>
          <w:sz w:val="24"/>
        </w:rPr>
        <w:t>64.54</w:t>
      </w:r>
      <w:r>
        <w:rPr>
          <w:rFonts w:ascii="Arial Narrow" w:hAnsi="Arial Narrow" w:cs="Arial Narrow"/>
          <w:sz w:val="24"/>
        </w:rPr>
        <w:t>万元，资金使用率为58.68%。</w:t>
      </w:r>
      <w:r>
        <w:rPr>
          <w:rFonts w:hint="eastAsia" w:ascii="Arial Narrow" w:hAnsi="Arial Narrow" w:cs="Arial Narrow"/>
          <w:sz w:val="24"/>
        </w:rPr>
        <w:t>偏差原因：执法配套设备（道路监控）经费40万元未使用。</w:t>
      </w:r>
    </w:p>
    <w:p w14:paraId="0F9FDC9C">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4-3-2、绩效指标完成情况分析</w:t>
      </w:r>
    </w:p>
    <w:p w14:paraId="02DF0A6B">
      <w:pPr>
        <w:spacing w:line="360" w:lineRule="auto"/>
        <w:ind w:firstLine="480" w:firstLineChars="200"/>
        <w:rPr>
          <w:rFonts w:ascii="Arial Narrow" w:hAnsi="Arial Narrow" w:cs="Arial Narrow"/>
          <w:sz w:val="24"/>
        </w:rPr>
      </w:pPr>
      <w:r>
        <w:rPr>
          <w:rFonts w:ascii="Arial Narrow" w:hAnsi="Arial Narrow" w:cs="Arial Narrow"/>
          <w:sz w:val="24"/>
        </w:rPr>
        <w:t>（1）产出指标</w:t>
      </w:r>
      <w:r>
        <w:rPr>
          <w:rFonts w:hint="eastAsia" w:ascii="Arial Narrow" w:hAnsi="Arial Narrow" w:cs="Arial Narrow"/>
          <w:sz w:val="24"/>
        </w:rPr>
        <w:t>（48分）</w:t>
      </w:r>
    </w:p>
    <w:p w14:paraId="419F51C2">
      <w:pPr>
        <w:spacing w:line="360" w:lineRule="auto"/>
        <w:ind w:firstLine="480" w:firstLineChars="200"/>
        <w:rPr>
          <w:rFonts w:ascii="Arial Narrow" w:hAnsi="Arial Narrow" w:cs="Arial Narrow"/>
          <w:sz w:val="24"/>
        </w:rPr>
      </w:pPr>
      <w:r>
        <w:rPr>
          <w:rFonts w:ascii="Arial Narrow" w:hAnsi="Arial Narrow" w:cs="Arial Narrow"/>
          <w:sz w:val="24"/>
        </w:rPr>
        <w:t>①严重交通违法行为导致事故比例</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通过查阅相关资料，自评小组了解到2019年因</w:t>
      </w:r>
      <w:r>
        <w:rPr>
          <w:rFonts w:ascii="Arial Narrow" w:hAnsi="Arial Narrow" w:cs="Arial Narrow"/>
          <w:sz w:val="24"/>
        </w:rPr>
        <w:t>无证驾驶、酒后驾驶、超速行驶等严重违法行为导致事故比例</w:t>
      </w:r>
      <w:r>
        <w:rPr>
          <w:rFonts w:hint="eastAsia" w:ascii="Arial Narrow" w:hAnsi="Arial Narrow" w:cs="Arial Narrow"/>
          <w:sz w:val="24"/>
        </w:rPr>
        <w:t>为5%，达到目标，该指标得分为6分。</w:t>
      </w:r>
    </w:p>
    <w:p w14:paraId="181063BC">
      <w:pPr>
        <w:spacing w:line="360" w:lineRule="auto"/>
        <w:ind w:firstLine="480" w:firstLineChars="200"/>
        <w:rPr>
          <w:rFonts w:ascii="Arial Narrow" w:hAnsi="Arial Narrow" w:cs="Arial Narrow"/>
          <w:sz w:val="24"/>
        </w:rPr>
      </w:pPr>
      <w:r>
        <w:rPr>
          <w:rFonts w:ascii="Arial Narrow" w:hAnsi="Arial Narrow" w:cs="Arial Narrow"/>
          <w:sz w:val="24"/>
        </w:rPr>
        <w:t>②路口监控设备设置率</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通过查阅相关资料，自评小组了解到路口监控设备设置率达到93%，该指标得分为6分。</w:t>
      </w:r>
    </w:p>
    <w:p w14:paraId="47CEEF20">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③交通技术监控设施利用率（6分）。</w:t>
      </w:r>
      <w:r>
        <w:rPr>
          <w:rFonts w:hint="eastAsia" w:ascii="Arial Narrow" w:hAnsi="Arial Narrow" w:cs="Arial Narrow"/>
          <w:bCs/>
          <w:color w:val="000000"/>
          <w:sz w:val="24"/>
        </w:rPr>
        <w:t>通过查阅相关资料，自评小组了解到2019年利用交通技术监控记录资料依法处罚机动车交通违法行为的比率达到90%，该指标得分为6分。</w:t>
      </w:r>
    </w:p>
    <w:p w14:paraId="68B87192">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④信号灯路口机动车守法率（6分）。</w:t>
      </w:r>
      <w:r>
        <w:rPr>
          <w:rFonts w:hint="eastAsia" w:ascii="Arial Narrow" w:hAnsi="Arial Narrow" w:cs="Arial Narrow"/>
          <w:bCs/>
          <w:color w:val="000000"/>
          <w:sz w:val="24"/>
        </w:rPr>
        <w:t>通过查阅相关资料，自评小组了解到2019年信号灯路口机动车守法率100%，该指标得分为6分。</w:t>
      </w:r>
    </w:p>
    <w:p w14:paraId="06E9CACE">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⑤信号灯路口非机动车守法率（6分）。</w:t>
      </w:r>
      <w:r>
        <w:rPr>
          <w:rFonts w:hint="eastAsia" w:ascii="Arial Narrow" w:hAnsi="Arial Narrow" w:cs="Arial Narrow"/>
          <w:bCs/>
          <w:color w:val="000000"/>
          <w:sz w:val="24"/>
        </w:rPr>
        <w:t>通过查阅相关资料，自评小组了解到信号灯路口非机动车守法率95%，该指标得分为6分。</w:t>
      </w:r>
    </w:p>
    <w:p w14:paraId="5215EF5E">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⑥信号灯路口行人守法率（6分）。</w:t>
      </w:r>
      <w:r>
        <w:rPr>
          <w:rFonts w:hint="eastAsia" w:ascii="Arial Narrow" w:hAnsi="Arial Narrow" w:cs="Arial Narrow"/>
          <w:bCs/>
          <w:color w:val="000000"/>
          <w:sz w:val="24"/>
        </w:rPr>
        <w:t>通过查阅相关资料，自评小组了解到信号灯路口行人守法率90%，该指标得分为6分。</w:t>
      </w:r>
    </w:p>
    <w:p w14:paraId="2E8CBB45">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⑦设备监控时段（6分）。</w:t>
      </w:r>
      <w:r>
        <w:rPr>
          <w:rFonts w:hint="eastAsia" w:ascii="Arial Narrow" w:hAnsi="Arial Narrow" w:cs="Arial Narrow"/>
          <w:bCs/>
          <w:color w:val="000000"/>
          <w:sz w:val="24"/>
        </w:rPr>
        <w:t>通过查阅相关资料，自评小组了解到各项监控设备实时监控，该指标得分为6分。</w:t>
      </w:r>
    </w:p>
    <w:p w14:paraId="67F922E7">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⑧研判室建设进度（6分）。</w:t>
      </w:r>
      <w:r>
        <w:rPr>
          <w:rFonts w:hint="eastAsia" w:ascii="Arial Narrow" w:hAnsi="Arial Narrow" w:cs="Arial Narrow"/>
          <w:bCs/>
          <w:color w:val="000000"/>
          <w:sz w:val="24"/>
        </w:rPr>
        <w:t>通过查阅相关资料，自评小组了解到2019年研判室建设完成90%，未完成年初计划，扣1分，该指标得分为5分。未完成原因：2019年由于施工单位实际工作情况，研判室收尾工作未在年度计划内完成。</w:t>
      </w:r>
    </w:p>
    <w:p w14:paraId="5BBCD3C7">
      <w:pPr>
        <w:spacing w:line="360" w:lineRule="auto"/>
        <w:ind w:firstLine="480" w:firstLineChars="200"/>
        <w:rPr>
          <w:rFonts w:ascii="Arial Narrow" w:hAnsi="Arial Narrow" w:cs="Arial Narrow"/>
          <w:sz w:val="24"/>
        </w:rPr>
      </w:pPr>
      <w:r>
        <w:rPr>
          <w:rFonts w:ascii="Arial Narrow" w:hAnsi="Arial Narrow" w:cs="Arial Narrow"/>
          <w:sz w:val="24"/>
        </w:rPr>
        <w:t>（2）服务对象满意度指标（12分）</w:t>
      </w:r>
    </w:p>
    <w:p w14:paraId="76156DA7">
      <w:pPr>
        <w:spacing w:line="360" w:lineRule="auto"/>
        <w:ind w:firstLine="480" w:firstLineChars="200"/>
        <w:rPr>
          <w:rFonts w:ascii="Arial Narrow" w:hAnsi="Arial Narrow" w:cs="Arial Narrow"/>
          <w:sz w:val="24"/>
        </w:rPr>
      </w:pPr>
      <w:r>
        <w:rPr>
          <w:rFonts w:ascii="Arial Narrow" w:hAnsi="Arial Narrow" w:cs="Arial Narrow"/>
          <w:sz w:val="24"/>
        </w:rPr>
        <w:t>①道路交通拥堵情况投诉率</w:t>
      </w:r>
      <w:r>
        <w:rPr>
          <w:rFonts w:hint="eastAsia" w:ascii="Arial Narrow" w:hAnsi="Arial Narrow" w:cs="Arial Narrow"/>
          <w:sz w:val="24"/>
        </w:rPr>
        <w:t>（12分）。</w:t>
      </w:r>
      <w:r>
        <w:rPr>
          <w:rFonts w:hint="eastAsia" w:ascii="Arial Narrow" w:hAnsi="Arial Narrow" w:cs="Arial Narrow"/>
          <w:bCs/>
          <w:color w:val="000000"/>
          <w:sz w:val="24"/>
        </w:rPr>
        <w:t>通过查阅相关资料，自评小组了解到2019年道路交通拥堵情况投诉率较2018年下降，该指标得分为12分。</w:t>
      </w:r>
    </w:p>
    <w:p w14:paraId="2F1CA33E">
      <w:pPr>
        <w:spacing w:line="360" w:lineRule="auto"/>
        <w:ind w:firstLine="562" w:firstLineChars="200"/>
        <w:rPr>
          <w:rFonts w:ascii="Arial Narrow" w:hAnsi="Arial Narrow" w:cs="Arial Narrow"/>
          <w:b/>
          <w:sz w:val="28"/>
          <w:szCs w:val="28"/>
          <w:highlight w:val="green"/>
        </w:rPr>
      </w:pPr>
      <w:r>
        <w:rPr>
          <w:rFonts w:ascii="Arial Narrow" w:hAnsi="Arial Narrow" w:cs="Arial Narrow"/>
          <w:b/>
          <w:sz w:val="28"/>
          <w:szCs w:val="28"/>
        </w:rPr>
        <w:t>4-4、自评结果</w:t>
      </w:r>
    </w:p>
    <w:p w14:paraId="78AF59DC">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88.74</w:t>
      </w:r>
      <w:r>
        <w:rPr>
          <w:rFonts w:ascii="Arial Narrow" w:hAnsi="Arial Narrow" w:cs="Arial Narrow"/>
          <w:bCs/>
          <w:sz w:val="24"/>
        </w:rPr>
        <w:t>分，自评等级为</w:t>
      </w:r>
      <w:r>
        <w:rPr>
          <w:rFonts w:hint="eastAsia" w:ascii="Arial Narrow" w:hAnsi="Arial Narrow" w:cs="Arial Narrow"/>
          <w:bCs/>
          <w:sz w:val="24"/>
        </w:rPr>
        <w:t>良</w:t>
      </w:r>
      <w:r>
        <w:rPr>
          <w:rFonts w:ascii="Arial Narrow" w:hAnsi="Arial Narrow" w:cs="Arial Narrow"/>
          <w:bCs/>
          <w:sz w:val="24"/>
        </w:rPr>
        <w:t>。详见《</w:t>
      </w:r>
      <w:r>
        <w:rPr>
          <w:rFonts w:hint="eastAsia" w:ascii="Arial Narrow" w:hAnsi="Arial Narrow" w:cs="Arial Narrow"/>
          <w:bCs/>
          <w:sz w:val="24"/>
        </w:rPr>
        <w:t>信息化类经费</w:t>
      </w:r>
      <w:r>
        <w:rPr>
          <w:rFonts w:ascii="Arial Narrow" w:hAnsi="Arial Narrow" w:cs="Arial Narrow"/>
          <w:bCs/>
          <w:sz w:val="24"/>
        </w:rPr>
        <w:t>项目支出绩效自评表》（附件</w:t>
      </w:r>
      <w:r>
        <w:rPr>
          <w:rFonts w:hint="eastAsia" w:ascii="Arial Narrow" w:hAnsi="Arial Narrow" w:cs="Arial Narrow"/>
          <w:bCs/>
          <w:sz w:val="24"/>
        </w:rPr>
        <w:t>1.4</w:t>
      </w:r>
      <w:r>
        <w:rPr>
          <w:rFonts w:ascii="Arial Narrow" w:hAnsi="Arial Narrow" w:cs="Arial Narrow"/>
          <w:bCs/>
          <w:sz w:val="24"/>
        </w:rPr>
        <w:t>）</w:t>
      </w:r>
    </w:p>
    <w:p w14:paraId="7A17530A">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4-5、主要问题和改进措施</w:t>
      </w:r>
    </w:p>
    <w:p w14:paraId="6BD9AC3A">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18B1282E">
      <w:pPr>
        <w:spacing w:line="360" w:lineRule="auto"/>
        <w:ind w:firstLine="480" w:firstLineChars="200"/>
        <w:rPr>
          <w:rFonts w:ascii="Arial Narrow" w:hAnsi="Arial Narrow" w:cs="Arial Narrow"/>
          <w:sz w:val="24"/>
        </w:rPr>
      </w:pPr>
      <w:r>
        <w:rPr>
          <w:rFonts w:hint="eastAsia" w:ascii="Arial Narrow" w:hAnsi="Arial Narrow" w:cs="Arial Narrow"/>
          <w:sz w:val="24"/>
        </w:rPr>
        <w:t>①2019年由于施工单位实际工作情况，研判室收尾工作未在年度计划内完成。</w:t>
      </w:r>
    </w:p>
    <w:p w14:paraId="5F5F30F8">
      <w:pPr>
        <w:spacing w:line="360" w:lineRule="auto"/>
        <w:ind w:firstLine="480" w:firstLineChars="200"/>
        <w:rPr>
          <w:rFonts w:ascii="Arial Narrow" w:hAnsi="Arial Narrow" w:cs="Arial Narrow"/>
          <w:sz w:val="24"/>
        </w:rPr>
      </w:pPr>
      <w:r>
        <w:rPr>
          <w:rFonts w:hint="eastAsia" w:ascii="Arial Narrow" w:hAnsi="Arial Narrow" w:cs="Arial Narrow"/>
          <w:sz w:val="24"/>
        </w:rPr>
        <w:t>（2）改进措施</w:t>
      </w:r>
    </w:p>
    <w:p w14:paraId="61E68623">
      <w:pPr>
        <w:spacing w:line="360" w:lineRule="auto"/>
        <w:ind w:firstLine="480" w:firstLineChars="200"/>
        <w:rPr>
          <w:rFonts w:ascii="Arial Narrow" w:hAnsi="Arial Narrow" w:cs="Arial Narrow"/>
          <w:sz w:val="24"/>
        </w:rPr>
      </w:pPr>
      <w:r>
        <w:rPr>
          <w:rFonts w:hint="eastAsia" w:ascii="Arial Narrow" w:hAnsi="Arial Narrow" w:cs="Arial Narrow"/>
          <w:sz w:val="24"/>
        </w:rPr>
        <w:t>①约谈施工单位，加强项目沟通，合理规划时间，督促施工单位在计划时间内完成，满足实际工作需求。</w:t>
      </w:r>
    </w:p>
    <w:p w14:paraId="63B4EA11">
      <w:pPr>
        <w:spacing w:line="360" w:lineRule="auto"/>
        <w:ind w:firstLine="602" w:firstLineChars="200"/>
        <w:rPr>
          <w:rFonts w:ascii="Arial Narrow" w:hAnsi="Arial Narrow" w:cs="Arial Narrow"/>
          <w:b/>
          <w:szCs w:val="30"/>
        </w:rPr>
      </w:pPr>
      <w:r>
        <w:rPr>
          <w:rFonts w:ascii="Arial Narrow" w:hAnsi="Arial Narrow" w:cs="Arial Narrow"/>
          <w:b/>
          <w:szCs w:val="30"/>
        </w:rPr>
        <w:t>四、绩效自评工作的经验、问题和建议</w:t>
      </w:r>
    </w:p>
    <w:p w14:paraId="2E8489F5">
      <w:pPr>
        <w:spacing w:line="360" w:lineRule="auto"/>
        <w:ind w:firstLine="480"/>
        <w:rPr>
          <w:rFonts w:ascii="Arial Narrow" w:hAnsi="Arial Narrow" w:cs="Arial Narrow"/>
          <w:sz w:val="24"/>
        </w:rPr>
      </w:pPr>
      <w:r>
        <w:rPr>
          <w:rFonts w:ascii="Arial Narrow" w:hAnsi="Arial Narrow" w:cs="Arial Narrow"/>
          <w:bCs/>
          <w:sz w:val="24"/>
        </w:rPr>
        <w:t xml:space="preserve"> </w:t>
      </w:r>
      <w:r>
        <w:rPr>
          <w:rFonts w:hint="eastAsia" w:ascii="Arial Narrow" w:hAnsi="Arial Narrow" w:cs="Arial Narrow"/>
          <w:sz w:val="24"/>
        </w:rPr>
        <w:t>（一）主要问题</w:t>
      </w:r>
    </w:p>
    <w:p w14:paraId="2DAD588B">
      <w:pPr>
        <w:spacing w:line="360" w:lineRule="auto"/>
        <w:ind w:firstLine="480"/>
        <w:rPr>
          <w:rFonts w:ascii="Arial Narrow" w:hAnsi="Arial Narrow" w:cs="Arial Narrow"/>
          <w:sz w:val="24"/>
        </w:rPr>
      </w:pPr>
      <w:r>
        <w:rPr>
          <w:rFonts w:hint="eastAsia" w:ascii="Arial Narrow" w:hAnsi="Arial Narrow" w:cs="Arial Narrow"/>
          <w:sz w:val="24"/>
        </w:rPr>
        <w:t>（1）由于绩效管理工作在洪山区属启动阶段，各单位专业程度不足，无法独立完成绩效相关工作；</w:t>
      </w:r>
    </w:p>
    <w:p w14:paraId="6E2A8C7B">
      <w:pPr>
        <w:spacing w:line="360" w:lineRule="auto"/>
        <w:ind w:firstLine="480"/>
        <w:rPr>
          <w:rFonts w:ascii="Arial Narrow" w:hAnsi="Arial Narrow" w:cs="Arial Narrow"/>
          <w:sz w:val="24"/>
        </w:rPr>
      </w:pPr>
      <w:r>
        <w:rPr>
          <w:rFonts w:hint="eastAsia" w:ascii="Arial Narrow" w:hAnsi="Arial Narrow" w:cs="Arial Narrow"/>
          <w:sz w:val="24"/>
        </w:rPr>
        <w:t>（2）财政局下发自评通知到要求单位提交报告的时长较短，留给单位开展自评的时间少；</w:t>
      </w:r>
    </w:p>
    <w:p w14:paraId="715C4F87">
      <w:pPr>
        <w:spacing w:line="360" w:lineRule="auto"/>
        <w:ind w:firstLine="480"/>
        <w:rPr>
          <w:rFonts w:ascii="Arial Narrow" w:hAnsi="Arial Narrow" w:cs="Arial Narrow"/>
          <w:sz w:val="24"/>
        </w:rPr>
      </w:pPr>
      <w:r>
        <w:rPr>
          <w:rFonts w:hint="eastAsia" w:ascii="Arial Narrow" w:hAnsi="Arial Narrow" w:cs="Arial Narrow"/>
          <w:sz w:val="24"/>
        </w:rPr>
        <w:t>（3）各个单位对自评工作的重视程度较低。</w:t>
      </w:r>
    </w:p>
    <w:p w14:paraId="7D63F031">
      <w:pPr>
        <w:spacing w:line="360" w:lineRule="auto"/>
        <w:ind w:firstLine="480"/>
        <w:rPr>
          <w:rFonts w:ascii="Arial Narrow" w:hAnsi="Arial Narrow" w:cs="Arial Narrow"/>
          <w:sz w:val="24"/>
        </w:rPr>
      </w:pPr>
      <w:r>
        <w:rPr>
          <w:rFonts w:hint="eastAsia" w:ascii="Arial Narrow" w:hAnsi="Arial Narrow" w:cs="Arial Narrow"/>
          <w:sz w:val="24"/>
        </w:rPr>
        <w:t>（二）建议</w:t>
      </w:r>
    </w:p>
    <w:p w14:paraId="7E027544">
      <w:pPr>
        <w:spacing w:line="360" w:lineRule="auto"/>
        <w:ind w:firstLine="480"/>
        <w:rPr>
          <w:rFonts w:ascii="Arial Narrow" w:hAnsi="Arial Narrow" w:cs="Arial Narrow"/>
          <w:sz w:val="24"/>
        </w:rPr>
      </w:pPr>
      <w:r>
        <w:rPr>
          <w:rFonts w:hint="eastAsia" w:ascii="Arial Narrow" w:hAnsi="Arial Narrow" w:cs="Arial Narrow"/>
          <w:sz w:val="24"/>
        </w:rPr>
        <w:t>（1）区财政局加大对区内各单位的培训力度，通过系统化的绩效培训提升单位的专业化程度，提升绩效自评的质量；</w:t>
      </w:r>
    </w:p>
    <w:p w14:paraId="3F59C071">
      <w:pPr>
        <w:spacing w:line="360" w:lineRule="auto"/>
        <w:ind w:firstLine="480"/>
        <w:rPr>
          <w:rFonts w:ascii="Arial Narrow" w:hAnsi="Arial Narrow" w:cs="Arial Narrow"/>
          <w:sz w:val="24"/>
        </w:rPr>
      </w:pPr>
      <w:r>
        <w:rPr>
          <w:rFonts w:hint="eastAsia" w:ascii="Arial Narrow" w:hAnsi="Arial Narrow" w:cs="Arial Narrow"/>
          <w:sz w:val="24"/>
        </w:rPr>
        <w:t>（2）各单位需提前熟悉绩效自评工作的内容，在年底找业务科室了解指标完成情况，并收集相关资料，以免因时间不足而发生不能准时交付报告的情况；</w:t>
      </w:r>
    </w:p>
    <w:p w14:paraId="713889F0">
      <w:pPr>
        <w:spacing w:line="360" w:lineRule="auto"/>
        <w:ind w:firstLine="480"/>
        <w:rPr>
          <w:rFonts w:ascii="Arial Narrow" w:hAnsi="Arial Narrow" w:cs="Arial Narrow"/>
          <w:sz w:val="24"/>
        </w:rPr>
      </w:pPr>
      <w:r>
        <w:rPr>
          <w:rFonts w:hint="eastAsia" w:ascii="Arial Narrow" w:hAnsi="Arial Narrow" w:cs="Arial Narrow"/>
          <w:sz w:val="24"/>
        </w:rPr>
        <w:t>（3）反复向各单位强调绩效工作的重要性，将单位绩效与预算联系起来，提高各单位的重视程度。</w:t>
      </w:r>
    </w:p>
    <w:p w14:paraId="2110A2B1">
      <w:pPr>
        <w:spacing w:line="360" w:lineRule="auto"/>
        <w:ind w:firstLine="602" w:firstLineChars="200"/>
        <w:rPr>
          <w:rFonts w:ascii="Arial Narrow" w:hAnsi="Arial Narrow" w:cs="Arial Narrow"/>
          <w:bCs/>
          <w:szCs w:val="30"/>
        </w:rPr>
      </w:pPr>
      <w:r>
        <w:rPr>
          <w:rFonts w:ascii="Arial Narrow" w:hAnsi="Arial Narrow" w:cs="Arial Narrow"/>
          <w:b/>
          <w:szCs w:val="30"/>
        </w:rPr>
        <w:t>五、其他需要说明的问题</w:t>
      </w:r>
    </w:p>
    <w:p w14:paraId="163E265D">
      <w:pPr>
        <w:spacing w:line="360" w:lineRule="auto"/>
        <w:ind w:firstLine="480" w:firstLineChars="200"/>
        <w:rPr>
          <w:rFonts w:ascii="Arial Narrow" w:hAnsi="Arial Narrow" w:cs="Arial Narrow"/>
          <w:sz w:val="24"/>
        </w:rPr>
      </w:pPr>
      <w:r>
        <w:rPr>
          <w:rFonts w:hint="eastAsia" w:ascii="Arial Narrow" w:hAnsi="Arial Narrow" w:cs="Arial Narrow"/>
          <w:sz w:val="24"/>
        </w:rPr>
        <w:t>无。</w:t>
      </w:r>
    </w:p>
    <w:p w14:paraId="69526AE4">
      <w:pPr>
        <w:spacing w:line="360" w:lineRule="auto"/>
        <w:ind w:firstLine="480" w:firstLineChars="200"/>
        <w:rPr>
          <w:rFonts w:ascii="Arial Narrow" w:hAnsi="Arial Narrow" w:cs="Arial Narrow"/>
          <w:sz w:val="24"/>
        </w:rPr>
      </w:pPr>
    </w:p>
    <w:p w14:paraId="19DB9402">
      <w:pPr>
        <w:spacing w:line="360" w:lineRule="auto"/>
        <w:rPr>
          <w:rFonts w:ascii="Arial Narrow" w:hAnsi="Arial Narrow" w:cs="Arial Narrow"/>
          <w:sz w:val="24"/>
        </w:rPr>
      </w:pPr>
    </w:p>
    <w:p w14:paraId="17C9C8C7">
      <w:pPr>
        <w:spacing w:line="360" w:lineRule="auto"/>
        <w:ind w:firstLine="480" w:firstLineChars="200"/>
        <w:rPr>
          <w:rFonts w:ascii="Arial Narrow" w:hAnsi="Arial Narrow" w:cs="Arial Narrow"/>
          <w:sz w:val="24"/>
        </w:rPr>
      </w:pPr>
    </w:p>
    <w:p w14:paraId="332828AD">
      <w:pPr>
        <w:spacing w:line="360" w:lineRule="auto"/>
        <w:ind w:firstLine="480" w:firstLineChars="200"/>
        <w:rPr>
          <w:rFonts w:ascii="Arial Narrow" w:hAnsi="Arial Narrow" w:cs="Arial Narrow"/>
          <w:sz w:val="24"/>
        </w:rPr>
      </w:pPr>
    </w:p>
    <w:p w14:paraId="26AD3909">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8595" cy="5433060"/>
            <wp:effectExtent l="0" t="0" r="8255" b="1524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268595" cy="5433060"/>
                    </a:xfrm>
                    <a:prstGeom prst="rect">
                      <a:avLst/>
                    </a:prstGeom>
                  </pic:spPr>
                </pic:pic>
              </a:graphicData>
            </a:graphic>
          </wp:inline>
        </w:drawing>
      </w:r>
    </w:p>
    <w:p w14:paraId="5E71CCFC">
      <w:pPr>
        <w:spacing w:line="360" w:lineRule="auto"/>
        <w:ind w:firstLine="480" w:firstLineChars="200"/>
        <w:rPr>
          <w:rFonts w:ascii="Arial Narrow" w:hAnsi="Arial Narrow" w:cs="Arial Narrow"/>
          <w:sz w:val="24"/>
        </w:rPr>
      </w:pPr>
    </w:p>
    <w:p w14:paraId="4ED1BAA9">
      <w:pPr>
        <w:spacing w:line="360" w:lineRule="auto"/>
        <w:ind w:firstLine="480" w:firstLineChars="200"/>
        <w:rPr>
          <w:rFonts w:ascii="Arial Narrow" w:hAnsi="Arial Narrow" w:cs="Arial Narrow"/>
          <w:sz w:val="24"/>
        </w:rPr>
      </w:pPr>
    </w:p>
    <w:p w14:paraId="5EF2BA70">
      <w:pPr>
        <w:spacing w:line="360" w:lineRule="auto"/>
        <w:ind w:firstLine="480" w:firstLineChars="200"/>
        <w:rPr>
          <w:rFonts w:ascii="Arial Narrow" w:hAnsi="Arial Narrow" w:cs="Arial Narrow"/>
          <w:sz w:val="24"/>
        </w:rPr>
      </w:pPr>
    </w:p>
    <w:p w14:paraId="20E73ABF">
      <w:pPr>
        <w:spacing w:line="360" w:lineRule="auto"/>
        <w:ind w:firstLine="480" w:firstLineChars="200"/>
        <w:rPr>
          <w:rFonts w:ascii="Arial Narrow" w:hAnsi="Arial Narrow" w:cs="Arial Narrow"/>
          <w:sz w:val="24"/>
        </w:rPr>
      </w:pPr>
    </w:p>
    <w:p w14:paraId="61C585FB">
      <w:pPr>
        <w:spacing w:line="360" w:lineRule="auto"/>
        <w:ind w:firstLine="480" w:firstLineChars="200"/>
        <w:rPr>
          <w:rFonts w:ascii="Arial Narrow" w:hAnsi="Arial Narrow" w:cs="Arial Narrow"/>
          <w:sz w:val="24"/>
        </w:rPr>
      </w:pPr>
    </w:p>
    <w:p w14:paraId="71B1CACB">
      <w:pPr>
        <w:spacing w:line="360" w:lineRule="auto"/>
        <w:ind w:firstLine="480" w:firstLineChars="200"/>
        <w:rPr>
          <w:rFonts w:ascii="Arial Narrow" w:hAnsi="Arial Narrow" w:cs="Arial Narrow"/>
          <w:sz w:val="24"/>
        </w:rPr>
      </w:pPr>
    </w:p>
    <w:p w14:paraId="4CBDBB11">
      <w:pPr>
        <w:spacing w:line="360" w:lineRule="auto"/>
        <w:ind w:firstLine="480" w:firstLineChars="200"/>
        <w:rPr>
          <w:rFonts w:ascii="Arial Narrow" w:hAnsi="Arial Narrow" w:cs="Arial Narrow"/>
          <w:sz w:val="24"/>
        </w:rPr>
      </w:pPr>
    </w:p>
    <w:p w14:paraId="25BE559E">
      <w:pPr>
        <w:spacing w:line="360" w:lineRule="auto"/>
        <w:ind w:firstLine="480" w:firstLineChars="200"/>
        <w:rPr>
          <w:rFonts w:ascii="Arial Narrow" w:hAnsi="Arial Narrow" w:cs="Arial Narrow"/>
          <w:sz w:val="24"/>
        </w:rPr>
      </w:pPr>
    </w:p>
    <w:p w14:paraId="11E74B18">
      <w:pPr>
        <w:spacing w:line="360" w:lineRule="auto"/>
        <w:ind w:firstLine="480" w:firstLineChars="200"/>
        <w:rPr>
          <w:rFonts w:ascii="Arial Narrow" w:hAnsi="Arial Narrow" w:cs="Arial Narrow"/>
          <w:sz w:val="24"/>
        </w:rPr>
      </w:pPr>
    </w:p>
    <w:p w14:paraId="71389023">
      <w:pPr>
        <w:spacing w:line="360" w:lineRule="auto"/>
        <w:ind w:firstLine="480" w:firstLineChars="200"/>
        <w:rPr>
          <w:rFonts w:ascii="Arial Narrow" w:hAnsi="Arial Narrow" w:cs="Arial Narrow"/>
          <w:sz w:val="24"/>
        </w:rPr>
      </w:pPr>
    </w:p>
    <w:p w14:paraId="21FE864D">
      <w:pPr>
        <w:spacing w:line="360" w:lineRule="auto"/>
        <w:ind w:firstLine="480" w:firstLineChars="200"/>
        <w:rPr>
          <w:rFonts w:ascii="Arial Narrow" w:hAnsi="Arial Narrow" w:cs="Arial Narrow"/>
          <w:sz w:val="24"/>
        </w:rPr>
      </w:pPr>
    </w:p>
    <w:p w14:paraId="3C730DEA">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4785" cy="5162550"/>
            <wp:effectExtent l="0" t="0" r="12065"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5264785" cy="5162550"/>
                    </a:xfrm>
                    <a:prstGeom prst="rect">
                      <a:avLst/>
                    </a:prstGeom>
                  </pic:spPr>
                </pic:pic>
              </a:graphicData>
            </a:graphic>
          </wp:inline>
        </w:drawing>
      </w:r>
    </w:p>
    <w:p w14:paraId="24E9B0F6">
      <w:pPr>
        <w:spacing w:line="360" w:lineRule="auto"/>
        <w:ind w:firstLine="480" w:firstLineChars="200"/>
        <w:rPr>
          <w:rFonts w:ascii="Arial Narrow" w:hAnsi="Arial Narrow" w:cs="Arial Narrow"/>
          <w:sz w:val="24"/>
        </w:rPr>
      </w:pPr>
    </w:p>
    <w:p w14:paraId="343696DF">
      <w:pPr>
        <w:spacing w:line="360" w:lineRule="auto"/>
        <w:ind w:firstLine="480" w:firstLineChars="200"/>
        <w:rPr>
          <w:rFonts w:ascii="Arial Narrow" w:hAnsi="Arial Narrow" w:cs="Arial Narrow"/>
          <w:sz w:val="24"/>
        </w:rPr>
      </w:pPr>
    </w:p>
    <w:p w14:paraId="2D46CA1F">
      <w:pPr>
        <w:spacing w:line="360" w:lineRule="auto"/>
        <w:ind w:firstLine="480" w:firstLineChars="200"/>
        <w:rPr>
          <w:rFonts w:ascii="Arial Narrow" w:hAnsi="Arial Narrow" w:cs="Arial Narrow"/>
          <w:sz w:val="24"/>
        </w:rPr>
      </w:pPr>
    </w:p>
    <w:p w14:paraId="0FC4CA53">
      <w:pPr>
        <w:spacing w:line="360" w:lineRule="auto"/>
        <w:ind w:firstLine="480" w:firstLineChars="200"/>
        <w:rPr>
          <w:rFonts w:ascii="Arial Narrow" w:hAnsi="Arial Narrow" w:cs="Arial Narrow"/>
          <w:sz w:val="24"/>
        </w:rPr>
      </w:pPr>
    </w:p>
    <w:p w14:paraId="0B929B70">
      <w:pPr>
        <w:spacing w:line="360" w:lineRule="auto"/>
        <w:ind w:firstLine="480" w:firstLineChars="200"/>
        <w:rPr>
          <w:rFonts w:ascii="Arial Narrow" w:hAnsi="Arial Narrow" w:cs="Arial Narrow"/>
          <w:sz w:val="24"/>
        </w:rPr>
      </w:pPr>
    </w:p>
    <w:p w14:paraId="1261BD88">
      <w:pPr>
        <w:spacing w:line="360" w:lineRule="auto"/>
        <w:ind w:firstLine="480" w:firstLineChars="200"/>
        <w:rPr>
          <w:rFonts w:ascii="Arial Narrow" w:hAnsi="Arial Narrow" w:cs="Arial Narrow"/>
          <w:sz w:val="24"/>
        </w:rPr>
      </w:pPr>
    </w:p>
    <w:p w14:paraId="4AB0B377">
      <w:pPr>
        <w:spacing w:line="360" w:lineRule="auto"/>
        <w:ind w:firstLine="480" w:firstLineChars="200"/>
        <w:rPr>
          <w:rFonts w:ascii="Arial Narrow" w:hAnsi="Arial Narrow" w:cs="Arial Narrow"/>
          <w:sz w:val="24"/>
        </w:rPr>
      </w:pPr>
    </w:p>
    <w:p w14:paraId="77E1CABF">
      <w:pPr>
        <w:spacing w:line="360" w:lineRule="auto"/>
        <w:ind w:firstLine="480" w:firstLineChars="200"/>
        <w:rPr>
          <w:rFonts w:ascii="Arial Narrow" w:hAnsi="Arial Narrow" w:cs="Arial Narrow"/>
          <w:sz w:val="24"/>
        </w:rPr>
      </w:pPr>
    </w:p>
    <w:p w14:paraId="2C2BFE85">
      <w:pPr>
        <w:spacing w:line="360" w:lineRule="auto"/>
        <w:ind w:firstLine="480" w:firstLineChars="200"/>
        <w:rPr>
          <w:rFonts w:ascii="Arial Narrow" w:hAnsi="Arial Narrow" w:cs="Arial Narrow"/>
          <w:sz w:val="24"/>
        </w:rPr>
      </w:pPr>
    </w:p>
    <w:p w14:paraId="2ECFF4FB">
      <w:pPr>
        <w:spacing w:line="360" w:lineRule="auto"/>
        <w:ind w:firstLine="480" w:firstLineChars="200"/>
        <w:rPr>
          <w:rFonts w:ascii="Arial Narrow" w:hAnsi="Arial Narrow" w:cs="Arial Narrow"/>
          <w:sz w:val="24"/>
        </w:rPr>
      </w:pPr>
    </w:p>
    <w:p w14:paraId="7AF611A7">
      <w:pPr>
        <w:spacing w:line="360" w:lineRule="auto"/>
        <w:ind w:firstLine="480" w:firstLineChars="200"/>
        <w:rPr>
          <w:rFonts w:ascii="Arial Narrow" w:hAnsi="Arial Narrow" w:cs="Arial Narrow"/>
          <w:sz w:val="24"/>
        </w:rPr>
      </w:pPr>
    </w:p>
    <w:p w14:paraId="4D103704">
      <w:pPr>
        <w:spacing w:line="360" w:lineRule="auto"/>
        <w:ind w:firstLine="480" w:firstLineChars="200"/>
        <w:rPr>
          <w:rFonts w:ascii="Arial Narrow" w:hAnsi="Arial Narrow" w:cs="Arial Narrow"/>
          <w:sz w:val="24"/>
        </w:rPr>
      </w:pPr>
    </w:p>
    <w:p w14:paraId="021B7E55">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4785" cy="5933440"/>
            <wp:effectExtent l="0" t="0" r="12065" b="1016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7"/>
                    <a:stretch>
                      <a:fillRect/>
                    </a:stretch>
                  </pic:blipFill>
                  <pic:spPr>
                    <a:xfrm>
                      <a:off x="0" y="0"/>
                      <a:ext cx="5264785" cy="5933440"/>
                    </a:xfrm>
                    <a:prstGeom prst="rect">
                      <a:avLst/>
                    </a:prstGeom>
                  </pic:spPr>
                </pic:pic>
              </a:graphicData>
            </a:graphic>
          </wp:inline>
        </w:drawing>
      </w:r>
    </w:p>
    <w:p w14:paraId="73CA293D">
      <w:pPr>
        <w:spacing w:line="360" w:lineRule="auto"/>
        <w:ind w:firstLine="480" w:firstLineChars="200"/>
        <w:rPr>
          <w:rFonts w:ascii="Arial Narrow" w:hAnsi="Arial Narrow" w:cs="Arial Narrow"/>
          <w:sz w:val="24"/>
        </w:rPr>
      </w:pPr>
    </w:p>
    <w:p w14:paraId="2D9D095E">
      <w:pPr>
        <w:spacing w:line="360" w:lineRule="auto"/>
        <w:ind w:firstLine="480" w:firstLineChars="200"/>
        <w:rPr>
          <w:rFonts w:ascii="Arial Narrow" w:hAnsi="Arial Narrow" w:cs="Arial Narrow"/>
          <w:sz w:val="24"/>
        </w:rPr>
      </w:pPr>
    </w:p>
    <w:p w14:paraId="7C7D1D75">
      <w:pPr>
        <w:spacing w:line="360" w:lineRule="auto"/>
        <w:ind w:firstLine="480" w:firstLineChars="200"/>
        <w:rPr>
          <w:rFonts w:ascii="Arial Narrow" w:hAnsi="Arial Narrow" w:cs="Arial Narrow"/>
          <w:sz w:val="24"/>
        </w:rPr>
      </w:pPr>
    </w:p>
    <w:p w14:paraId="66E00830">
      <w:pPr>
        <w:spacing w:line="360" w:lineRule="auto"/>
        <w:ind w:firstLine="480" w:firstLineChars="200"/>
        <w:rPr>
          <w:rFonts w:ascii="Arial Narrow" w:hAnsi="Arial Narrow" w:cs="Arial Narrow"/>
          <w:sz w:val="24"/>
        </w:rPr>
      </w:pPr>
    </w:p>
    <w:p w14:paraId="3BA70EDA">
      <w:pPr>
        <w:spacing w:line="360" w:lineRule="auto"/>
        <w:ind w:firstLine="480" w:firstLineChars="200"/>
        <w:rPr>
          <w:rFonts w:ascii="Arial Narrow" w:hAnsi="Arial Narrow" w:cs="Arial Narrow"/>
          <w:sz w:val="24"/>
        </w:rPr>
      </w:pPr>
    </w:p>
    <w:p w14:paraId="12F18CE0">
      <w:pPr>
        <w:spacing w:line="360" w:lineRule="auto"/>
        <w:ind w:firstLine="480" w:firstLineChars="200"/>
        <w:rPr>
          <w:rFonts w:ascii="Arial Narrow" w:hAnsi="Arial Narrow" w:cs="Arial Narrow"/>
          <w:sz w:val="24"/>
        </w:rPr>
      </w:pPr>
    </w:p>
    <w:p w14:paraId="57B63262">
      <w:pPr>
        <w:spacing w:line="360" w:lineRule="auto"/>
        <w:ind w:firstLine="480" w:firstLineChars="200"/>
        <w:rPr>
          <w:rFonts w:ascii="Arial Narrow" w:hAnsi="Arial Narrow" w:cs="Arial Narrow"/>
          <w:sz w:val="24"/>
        </w:rPr>
      </w:pPr>
    </w:p>
    <w:p w14:paraId="03B7BE9C">
      <w:pPr>
        <w:spacing w:line="360" w:lineRule="auto"/>
        <w:ind w:firstLine="480" w:firstLineChars="200"/>
        <w:rPr>
          <w:rFonts w:ascii="Arial Narrow" w:hAnsi="Arial Narrow" w:cs="Arial Narrow"/>
          <w:sz w:val="24"/>
        </w:rPr>
      </w:pPr>
    </w:p>
    <w:p w14:paraId="3B181474">
      <w:pPr>
        <w:spacing w:line="360" w:lineRule="auto"/>
        <w:ind w:firstLine="480" w:firstLineChars="200"/>
        <w:rPr>
          <w:rFonts w:ascii="Arial Narrow" w:hAnsi="Arial Narrow" w:cs="Arial Narrow"/>
          <w:sz w:val="24"/>
        </w:rPr>
      </w:pPr>
    </w:p>
    <w:p w14:paraId="25D57F4F">
      <w:pPr>
        <w:spacing w:line="360" w:lineRule="auto"/>
        <w:ind w:firstLine="480" w:firstLineChars="200"/>
        <w:rPr>
          <w:rFonts w:ascii="Arial Narrow" w:hAnsi="Arial Narrow" w:cs="Arial Narrow"/>
          <w:sz w:val="24"/>
        </w:rPr>
      </w:pPr>
    </w:p>
    <w:p w14:paraId="0A81B306">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7960" cy="5555615"/>
            <wp:effectExtent l="0" t="0" r="8890" b="698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8"/>
                    <a:stretch>
                      <a:fillRect/>
                    </a:stretch>
                  </pic:blipFill>
                  <pic:spPr>
                    <a:xfrm>
                      <a:off x="0" y="0"/>
                      <a:ext cx="5267960" cy="5555615"/>
                    </a:xfrm>
                    <a:prstGeom prst="rect">
                      <a:avLst/>
                    </a:prstGeom>
                  </pic:spPr>
                </pic:pic>
              </a:graphicData>
            </a:graphic>
          </wp:inline>
        </w:drawing>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AEC53">
    <w:pPr>
      <w:pStyle w:val="3"/>
      <w:jc w:val="center"/>
    </w:pPr>
    <w:r>
      <w:fldChar w:fldCharType="begin"/>
    </w:r>
    <w:r>
      <w:instrText xml:space="preserve"> PAGE   \* MERGEFORMAT </w:instrText>
    </w:r>
    <w:r>
      <w:fldChar w:fldCharType="separate"/>
    </w:r>
    <w:r>
      <w:rPr>
        <w:lang w:val="zh-CN"/>
      </w:rPr>
      <w:t>1</w:t>
    </w:r>
    <w:r>
      <w:rPr>
        <w:lang w:val="zh-CN"/>
      </w:rPr>
      <w:fldChar w:fldCharType="end"/>
    </w:r>
  </w:p>
  <w:p w14:paraId="3DC8F7E8">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9DF60E"/>
    <w:multiLevelType w:val="singleLevel"/>
    <w:tmpl w:val="479DF60E"/>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documentProtection w:enforcement="0"/>
  <w:defaultTabStop w:val="420"/>
  <w:drawingGridHorizontalSpacing w:val="150"/>
  <w:drawingGridVerticalSpacing w:val="58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jYyYjRjMGY2YWI2NThmYTc2ZDlmMmVlYjUzOWUifQ=="/>
  </w:docVars>
  <w:rsids>
    <w:rsidRoot w:val="00F57F82"/>
    <w:rsid w:val="000101E1"/>
    <w:rsid w:val="00020084"/>
    <w:rsid w:val="000732DA"/>
    <w:rsid w:val="00075CDC"/>
    <w:rsid w:val="000A63C4"/>
    <w:rsid w:val="000B1E8F"/>
    <w:rsid w:val="00103D16"/>
    <w:rsid w:val="00164D84"/>
    <w:rsid w:val="001D628A"/>
    <w:rsid w:val="00250053"/>
    <w:rsid w:val="00287C3C"/>
    <w:rsid w:val="002F1DC3"/>
    <w:rsid w:val="0039432D"/>
    <w:rsid w:val="003C6374"/>
    <w:rsid w:val="00415F7C"/>
    <w:rsid w:val="004531B5"/>
    <w:rsid w:val="00785AF7"/>
    <w:rsid w:val="007A1DC2"/>
    <w:rsid w:val="008A20F2"/>
    <w:rsid w:val="00A36353"/>
    <w:rsid w:val="00AA2B82"/>
    <w:rsid w:val="00AE64C5"/>
    <w:rsid w:val="00CC152C"/>
    <w:rsid w:val="00D63908"/>
    <w:rsid w:val="00DD09A2"/>
    <w:rsid w:val="00DD16E3"/>
    <w:rsid w:val="00ED6D53"/>
    <w:rsid w:val="00F437B4"/>
    <w:rsid w:val="00F57F82"/>
    <w:rsid w:val="00F75963"/>
    <w:rsid w:val="00FA357A"/>
    <w:rsid w:val="02C86339"/>
    <w:rsid w:val="02F3270A"/>
    <w:rsid w:val="037D0BC8"/>
    <w:rsid w:val="03CC5300"/>
    <w:rsid w:val="0516384B"/>
    <w:rsid w:val="07223E84"/>
    <w:rsid w:val="0845082D"/>
    <w:rsid w:val="09487F5A"/>
    <w:rsid w:val="096A663E"/>
    <w:rsid w:val="09E965F2"/>
    <w:rsid w:val="0A87714B"/>
    <w:rsid w:val="0D660F6F"/>
    <w:rsid w:val="11D7196B"/>
    <w:rsid w:val="139840D3"/>
    <w:rsid w:val="143E091F"/>
    <w:rsid w:val="14865FC8"/>
    <w:rsid w:val="150C2DB0"/>
    <w:rsid w:val="15743C65"/>
    <w:rsid w:val="1C125FA5"/>
    <w:rsid w:val="1CE94882"/>
    <w:rsid w:val="1E761F05"/>
    <w:rsid w:val="1F26460D"/>
    <w:rsid w:val="1F6F6D8B"/>
    <w:rsid w:val="1FC7205C"/>
    <w:rsid w:val="21F744C5"/>
    <w:rsid w:val="228B3D05"/>
    <w:rsid w:val="25CA76D8"/>
    <w:rsid w:val="286D5E37"/>
    <w:rsid w:val="29166E15"/>
    <w:rsid w:val="2C476D0F"/>
    <w:rsid w:val="319A3694"/>
    <w:rsid w:val="34040E45"/>
    <w:rsid w:val="38EF7AD8"/>
    <w:rsid w:val="3AC26D8D"/>
    <w:rsid w:val="3CB6457D"/>
    <w:rsid w:val="3E1672E6"/>
    <w:rsid w:val="40867CAF"/>
    <w:rsid w:val="415F08D8"/>
    <w:rsid w:val="416106D4"/>
    <w:rsid w:val="41EA471C"/>
    <w:rsid w:val="433B52D2"/>
    <w:rsid w:val="44DC6F9E"/>
    <w:rsid w:val="44E2230F"/>
    <w:rsid w:val="4549266A"/>
    <w:rsid w:val="46F9107C"/>
    <w:rsid w:val="48B51347"/>
    <w:rsid w:val="4A55216A"/>
    <w:rsid w:val="4A5671F7"/>
    <w:rsid w:val="4CD91374"/>
    <w:rsid w:val="4FE0696A"/>
    <w:rsid w:val="514E73C2"/>
    <w:rsid w:val="51FD19E1"/>
    <w:rsid w:val="55673508"/>
    <w:rsid w:val="577A7C6C"/>
    <w:rsid w:val="58587667"/>
    <w:rsid w:val="59595A6F"/>
    <w:rsid w:val="599330CA"/>
    <w:rsid w:val="5B0D23FC"/>
    <w:rsid w:val="5D9C0956"/>
    <w:rsid w:val="5DB076C2"/>
    <w:rsid w:val="5E367F56"/>
    <w:rsid w:val="60D5009F"/>
    <w:rsid w:val="61E50B63"/>
    <w:rsid w:val="63DF1591"/>
    <w:rsid w:val="660721C9"/>
    <w:rsid w:val="661E6C75"/>
    <w:rsid w:val="67F75FF5"/>
    <w:rsid w:val="681D4831"/>
    <w:rsid w:val="68294E79"/>
    <w:rsid w:val="69194E75"/>
    <w:rsid w:val="692E4B19"/>
    <w:rsid w:val="69513EF7"/>
    <w:rsid w:val="6BF3256F"/>
    <w:rsid w:val="6CE7018A"/>
    <w:rsid w:val="6E3E3F2D"/>
    <w:rsid w:val="71401C05"/>
    <w:rsid w:val="715B2F02"/>
    <w:rsid w:val="7281713A"/>
    <w:rsid w:val="76A548F2"/>
    <w:rsid w:val="7765772E"/>
    <w:rsid w:val="77867685"/>
    <w:rsid w:val="77F04540"/>
    <w:rsid w:val="781F36B6"/>
    <w:rsid w:val="790627AD"/>
    <w:rsid w:val="7ADC59FA"/>
    <w:rsid w:val="7DC07743"/>
    <w:rsid w:val="7DDD7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脚 字符"/>
    <w:basedOn w:val="7"/>
    <w:link w:val="3"/>
    <w:qFormat/>
    <w:uiPriority w:val="99"/>
    <w:rPr>
      <w:rFonts w:eastAsia="仿宋_GB2312"/>
      <w:kern w:val="2"/>
      <w:sz w:val="18"/>
      <w:szCs w:val="18"/>
    </w:rPr>
  </w:style>
  <w:style w:type="character" w:customStyle="1" w:styleId="9">
    <w:name w:val="页眉 字符"/>
    <w:basedOn w:val="7"/>
    <w:link w:val="4"/>
    <w:qFormat/>
    <w:uiPriority w:val="0"/>
    <w:rPr>
      <w:rFonts w:eastAsia="仿宋_GB2312"/>
      <w:kern w:val="2"/>
      <w:sz w:val="18"/>
      <w:szCs w:val="18"/>
    </w:rPr>
  </w:style>
  <w:style w:type="character" w:customStyle="1" w:styleId="10">
    <w:name w:val="批注框文本 字符"/>
    <w:basedOn w:val="7"/>
    <w:link w:val="2"/>
    <w:qFormat/>
    <w:uiPriority w:val="0"/>
    <w:rPr>
      <w:rFonts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17</Pages>
  <Words>1515</Words>
  <Characters>1757</Characters>
  <Lines>61</Lines>
  <Paragraphs>17</Paragraphs>
  <TotalTime>23</TotalTime>
  <ScaleCrop>false</ScaleCrop>
  <LinksUpToDate>false</LinksUpToDate>
  <CharactersWithSpaces>1769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2011-03-02T00:16:00Z</dcterms:created>
  <dc:creator>lhn</dc:creator>
  <cp:lastModifiedBy>流心石头</cp:lastModifiedBy>
  <cp:lastPrinted>2020-05-28T05:16:00Z</cp:lastPrinted>
  <dcterms:modified xsi:type="dcterms:W3CDTF">2026-05-13T08:41:53Z</dcterms:modified>
  <dc:title>财政支出绩效评价报告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6C705BC142C442538281CD3C5E1F1803_13</vt:lpwstr>
  </property>
  <property fmtid="{D5CDD505-2E9C-101B-9397-08002B2CF9AE}" pid="4" name="KSOTemplateDocerSaveRecord">
    <vt:lpwstr>eyJoZGlkIjoiZDhlZjYyYjRjMGY2YWI2NThmYTc2ZDlmMmVlYjUzOWUiLCJ1c2VySWQiOiIxMTQ3MDgzODI0In0=</vt:lpwstr>
  </property>
</Properties>
</file>