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AC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pacing w:val="-14"/>
          <w:sz w:val="44"/>
          <w:szCs w:val="44"/>
        </w:rPr>
      </w:pPr>
      <w:r>
        <w:rPr>
          <w:rFonts w:hint="eastAsia" w:ascii="方正小标宋简体" w:hAnsi="方正小标宋简体" w:eastAsia="方正小标宋简体" w:cs="方正小标宋简体"/>
          <w:b w:val="0"/>
          <w:bCs/>
          <w:spacing w:val="-14"/>
          <w:sz w:val="44"/>
          <w:szCs w:val="44"/>
        </w:rPr>
        <w:t>武汉市洪山区人民政府青菱街道办事处</w:t>
      </w:r>
    </w:p>
    <w:p w14:paraId="7AB17E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pacing w:val="-14"/>
          <w:sz w:val="44"/>
          <w:szCs w:val="44"/>
        </w:rPr>
      </w:pPr>
      <w:r>
        <w:rPr>
          <w:rFonts w:hint="eastAsia" w:ascii="方正小标宋简体" w:hAnsi="方正小标宋简体" w:eastAsia="方正小标宋简体" w:cs="方正小标宋简体"/>
          <w:b w:val="0"/>
          <w:bCs/>
          <w:spacing w:val="-14"/>
          <w:sz w:val="44"/>
          <w:szCs w:val="44"/>
        </w:rPr>
        <w:t>部门整体支出绩效自评报告</w:t>
      </w:r>
    </w:p>
    <w:p w14:paraId="621B543A">
      <w:pPr>
        <w:spacing w:line="360" w:lineRule="auto"/>
        <w:jc w:val="center"/>
        <w:rPr>
          <w:rFonts w:ascii="宋体" w:hAnsi="宋体"/>
          <w:b/>
          <w:spacing w:val="-14"/>
          <w:sz w:val="36"/>
          <w:szCs w:val="36"/>
        </w:rPr>
      </w:pPr>
    </w:p>
    <w:p w14:paraId="3E1254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法》关于预算绩效管理的相关规定，按照武汉市洪山区财政局《关于印发&lt;洪山区财政局开展2019年区级财政支出绩效评价工作方案&gt;的通知》（洪财字〔2019〕4号）的工作要求，武汉市洪山区人民政府青菱街道办事处（以下简称“青菱街道办”）于2019年5月10日至5月24日对2018年度的部门整体支出情况开展绩效自我评价，绩效评价结果如下：</w:t>
      </w:r>
    </w:p>
    <w:p w14:paraId="160F65A9">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一、部门概况</w:t>
      </w:r>
    </w:p>
    <w:p w14:paraId="6F7A64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（一）部门机构设置及人员编制</w:t>
      </w:r>
    </w:p>
    <w:p w14:paraId="04CB65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青菱街道办核定人员编制26人，其中：行政编制26人，2018年末在职在编实有人数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人。全部为财政全额供养。</w:t>
      </w:r>
    </w:p>
    <w:p w14:paraId="5CDC30A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武汉市洪山区机构编制委员会关于印发《中共洪山区委青菱街道工作委员会、洪山区人民政府青菱街道办事处主要职责内设机构和人员编制规定》的通知（洪编〔2016〕16号），纳入青菱街道办预算编报的部门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个，其中青菱街道办事处设置内设机构6个，分别是党政办公室、党建办公室、公共管理办公室、公共服务办公室、公共安全办公室、综合发展办公室；</w:t>
      </w:r>
      <w:r>
        <w:rPr>
          <w:rFonts w:hint="eastAsia" w:ascii="仿宋_GB2312" w:hAnsi="仿宋_GB2312" w:eastAsia="仿宋_GB2312" w:cs="仿宋_GB2312"/>
          <w:sz w:val="32"/>
          <w:szCs w:val="32"/>
          <w:lang w:eastAsia="zh-CN"/>
        </w:rPr>
        <w:t>纪检监察、人民武装，工会、共青团、妇联等。</w:t>
      </w:r>
      <w:r>
        <w:rPr>
          <w:rFonts w:hint="eastAsia" w:ascii="仿宋_GB2312" w:hAnsi="仿宋_GB2312" w:eastAsia="仿宋_GB2312" w:cs="仿宋_GB2312"/>
          <w:sz w:val="32"/>
          <w:szCs w:val="32"/>
        </w:rPr>
        <w:t>2018年度纳入汇总编制的单位1个（青菱街道办事处）。</w:t>
      </w:r>
    </w:p>
    <w:p w14:paraId="17F9CA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（二）部门职能</w:t>
      </w:r>
    </w:p>
    <w:p w14:paraId="624022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青菱街道办属于区级政府派出机关，主要职责有：</w:t>
      </w:r>
    </w:p>
    <w:p w14:paraId="3E6940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1、加强基层党建。落实基层党建工作责任制，统筹推进街道和社区（村）区域化党建，加强非公有制企业和社会组织党建工作，实现党的组织和工作全覆盖。</w:t>
      </w:r>
    </w:p>
    <w:p w14:paraId="04C287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区域发展。统筹落实关于辖区发展的重大决策，参与辖区建设规划和公共服务设施布局，推动辖区健康、有序、可持续发展。负责采集企业信息、服务驻区企业、优化投资环境、促进项目发展等经济发展服务工作。</w:t>
      </w:r>
    </w:p>
    <w:p w14:paraId="0F1CD4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3、组织公共服务。组织实施与居民生活密切相关的各项公共服务，贯彻落实人社、民政、教育、文化、体育、卫生计生等领域相关政策法规。</w:t>
      </w:r>
    </w:p>
    <w:p w14:paraId="39891D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4、实施综合管理。对辖区内城市管理、人口管理、文明创建等地区性、综合性社会管理工作，承担组织领导和综合协调职能。对辖区住宅小区综合管理工作负总责。</w:t>
      </w:r>
    </w:p>
    <w:p w14:paraId="554BFA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5、监督专业管理。对辖区内各执法等专业管理工作进行统筹协调，并组织开展群众监督和社会监督。</w:t>
      </w:r>
    </w:p>
    <w:p w14:paraId="217F80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6、动员社会参与。动员辖区内各类单位、社会组织和社区（村）居（村）民等社会力量参与社会管理，整合辖区内各种社会力量为街道发展服务。</w:t>
      </w:r>
    </w:p>
    <w:p w14:paraId="75C2C3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社区（村）自治。指导社区居委会和业主委员会建设，健全自治平台，组织社区居民和单位参与社区建设和管理。健全村级治理机制。加强村党组织、村委会、村务监督委员会和村民小组建设。加强对农村集体或城中村改造后的集体经济组织的“三资”管理。</w:t>
      </w:r>
    </w:p>
    <w:p w14:paraId="77CA6B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8、维护公共安全。负责辖区社会治安综合治理、安全生产等有关工作，开展平安建设，处理群众来信来访，反映社情民意，化解矛盾纠纷等。</w:t>
      </w:r>
    </w:p>
    <w:p w14:paraId="2DCEA1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9、承办区委、区政府交办的其他事项。</w:t>
      </w:r>
    </w:p>
    <w:p w14:paraId="5DE99D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（三）资金来源及使用情况</w:t>
      </w:r>
    </w:p>
    <w:p w14:paraId="7BD72F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根据青菱街道办决算报表内容反映，2018年洪山区青菱街道办财政拨款收入8,344.87万元，其中基本支出拨款808.17万元，项目支出拨款6,749.03万元，区本级其他财政性资金的专项资金收入787.67万元；</w:t>
      </w:r>
    </w:p>
    <w:p w14:paraId="74EEE29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青菱街道办预算支出8,344.87万元，其中基本支出808.17万元（工资福利支出727.46万元，占基本支出的90.01%；商品和服务支出80.71万元，占基本支出的9.99%）；项目支出6,749.03万元（工资福利支出94.04万元，对个人和家庭的补助支出35.95万元，资本性支出21.71万元，其他均为商品和服务支出）；区本级其他财政性资金的专项资金支出787.67万元，支出均为商品和服务支出。</w:t>
      </w:r>
    </w:p>
    <w:p w14:paraId="6DEAE0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1、预算调整情况</w:t>
      </w:r>
    </w:p>
    <w:p w14:paraId="766619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2018年青菱街道办年初预算总收入7,234.26万元，其中基本支出拨款收入939.07万元，占预算总收入的12.98％，项目支出拨款6295.19万元，占预算总收入的87.02%。</w:t>
      </w:r>
    </w:p>
    <w:p w14:paraId="5F8EB1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追加预算1,110.61万元，其中基本支出调整减少130.90万元，项目支出追加453.84万元，主要来源是街道办事处财源建设资金；区本级其他财政性资金的专项资金支出787.67万元。</w:t>
      </w:r>
    </w:p>
    <w:p w14:paraId="7F82AE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2、项目支出情况</w:t>
      </w:r>
    </w:p>
    <w:p w14:paraId="05F086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青菱街道办按照上级财政部门的要求按各项工作的经费申请，资金使用根据工作开展情况提请街道行政办公会议及党工委会议研究，同意后再进行拨付。</w:t>
      </w:r>
    </w:p>
    <w:p w14:paraId="63DEEC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2018年青菱街道办项目资金财政安排资金（包括街道办事处财源建设资金追加）6,754.73万元。下达安排项目为：街属部门事务支出105万元，大城管专项补助经费支出1,142.69万元等项目，具体项目支出情况详见下表：</w:t>
      </w:r>
    </w:p>
    <w:p w14:paraId="2D2F1A61">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bl>
      <w:tblPr>
        <w:tblStyle w:val="5"/>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701"/>
        <w:gridCol w:w="1560"/>
        <w:gridCol w:w="1842"/>
        <w:gridCol w:w="1134"/>
      </w:tblGrid>
      <w:tr w14:paraId="3E2D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815DFA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701" w:type="dxa"/>
            <w:vAlign w:val="center"/>
          </w:tcPr>
          <w:p w14:paraId="64AB4A0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本年预算资金</w:t>
            </w:r>
          </w:p>
        </w:tc>
        <w:tc>
          <w:tcPr>
            <w:tcW w:w="1560" w:type="dxa"/>
            <w:vAlign w:val="center"/>
          </w:tcPr>
          <w:p w14:paraId="59EEA59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本年追加或调整</w:t>
            </w:r>
          </w:p>
        </w:tc>
        <w:tc>
          <w:tcPr>
            <w:tcW w:w="1842" w:type="dxa"/>
            <w:vAlign w:val="center"/>
          </w:tcPr>
          <w:p w14:paraId="660B0AD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实际支出</w:t>
            </w:r>
          </w:p>
        </w:tc>
        <w:tc>
          <w:tcPr>
            <w:tcW w:w="1134" w:type="dxa"/>
            <w:vAlign w:val="center"/>
          </w:tcPr>
          <w:p w14:paraId="71D1D5A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预算执行率</w:t>
            </w:r>
          </w:p>
        </w:tc>
      </w:tr>
      <w:tr w14:paraId="245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3E6610DD">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安全生产经费含消防经费</w:t>
            </w:r>
          </w:p>
        </w:tc>
        <w:tc>
          <w:tcPr>
            <w:tcW w:w="1701" w:type="dxa"/>
            <w:vAlign w:val="center"/>
          </w:tcPr>
          <w:p w14:paraId="267B5EC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600,000.00</w:t>
            </w:r>
          </w:p>
        </w:tc>
        <w:tc>
          <w:tcPr>
            <w:tcW w:w="1560" w:type="dxa"/>
            <w:vAlign w:val="center"/>
          </w:tcPr>
          <w:p w14:paraId="4D402E3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750903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599,721.00</w:t>
            </w:r>
          </w:p>
        </w:tc>
        <w:tc>
          <w:tcPr>
            <w:tcW w:w="1134" w:type="dxa"/>
            <w:vAlign w:val="center"/>
          </w:tcPr>
          <w:p w14:paraId="56E5FEE1">
            <w:pPr>
              <w:jc w:val="center"/>
              <w:rPr>
                <w:rFonts w:hint="eastAsia" w:ascii="仿宋_GB2312" w:hAnsi="仿宋_GB2312" w:eastAsia="仿宋_GB2312" w:cs="仿宋_GB2312"/>
                <w:sz w:val="32"/>
                <w:szCs w:val="32"/>
              </w:rPr>
            </w:pPr>
          </w:p>
        </w:tc>
      </w:tr>
      <w:tr w14:paraId="02A1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B714C41">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办公设备购置</w:t>
            </w:r>
          </w:p>
        </w:tc>
        <w:tc>
          <w:tcPr>
            <w:tcW w:w="1701" w:type="dxa"/>
            <w:vAlign w:val="center"/>
          </w:tcPr>
          <w:p w14:paraId="07DA367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109,200.00</w:t>
            </w:r>
          </w:p>
        </w:tc>
        <w:tc>
          <w:tcPr>
            <w:tcW w:w="1560" w:type="dxa"/>
            <w:vAlign w:val="center"/>
          </w:tcPr>
          <w:p w14:paraId="4AF2FCA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4B1DA2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109,200.00</w:t>
            </w:r>
          </w:p>
        </w:tc>
        <w:tc>
          <w:tcPr>
            <w:tcW w:w="1134" w:type="dxa"/>
            <w:vAlign w:val="center"/>
          </w:tcPr>
          <w:p w14:paraId="7E02B61A">
            <w:pPr>
              <w:jc w:val="center"/>
              <w:rPr>
                <w:rFonts w:hint="eastAsia" w:ascii="仿宋_GB2312" w:hAnsi="仿宋_GB2312" w:eastAsia="仿宋_GB2312" w:cs="仿宋_GB2312"/>
                <w:sz w:val="32"/>
                <w:szCs w:val="32"/>
              </w:rPr>
            </w:pPr>
          </w:p>
        </w:tc>
      </w:tr>
      <w:tr w14:paraId="134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E577D8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服务企业工作经费</w:t>
            </w:r>
          </w:p>
        </w:tc>
        <w:tc>
          <w:tcPr>
            <w:tcW w:w="1701" w:type="dxa"/>
            <w:vAlign w:val="center"/>
          </w:tcPr>
          <w:p w14:paraId="4F125B8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560" w:type="dxa"/>
            <w:vAlign w:val="center"/>
          </w:tcPr>
          <w:p w14:paraId="4AB0FE7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23196DB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134" w:type="dxa"/>
            <w:vAlign w:val="center"/>
          </w:tcPr>
          <w:p w14:paraId="071C2A37">
            <w:pPr>
              <w:jc w:val="center"/>
              <w:rPr>
                <w:rFonts w:hint="eastAsia" w:ascii="仿宋_GB2312" w:hAnsi="仿宋_GB2312" w:eastAsia="仿宋_GB2312" w:cs="仿宋_GB2312"/>
                <w:sz w:val="32"/>
                <w:szCs w:val="32"/>
              </w:rPr>
            </w:pPr>
          </w:p>
        </w:tc>
      </w:tr>
      <w:tr w14:paraId="09A7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F971EF3">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各部门经费</w:t>
            </w:r>
          </w:p>
        </w:tc>
        <w:tc>
          <w:tcPr>
            <w:tcW w:w="1701" w:type="dxa"/>
            <w:vAlign w:val="center"/>
          </w:tcPr>
          <w:p w14:paraId="253DCF9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1,050,000.00</w:t>
            </w:r>
          </w:p>
        </w:tc>
        <w:tc>
          <w:tcPr>
            <w:tcW w:w="1560" w:type="dxa"/>
            <w:vAlign w:val="center"/>
          </w:tcPr>
          <w:p w14:paraId="2156425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C618A0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1,040,554.68</w:t>
            </w:r>
          </w:p>
        </w:tc>
        <w:tc>
          <w:tcPr>
            <w:tcW w:w="1134" w:type="dxa"/>
            <w:vAlign w:val="center"/>
          </w:tcPr>
          <w:p w14:paraId="7817617B">
            <w:pPr>
              <w:jc w:val="center"/>
              <w:rPr>
                <w:rFonts w:hint="eastAsia" w:ascii="仿宋_GB2312" w:hAnsi="仿宋_GB2312" w:eastAsia="仿宋_GB2312" w:cs="仿宋_GB2312"/>
                <w:sz w:val="32"/>
                <w:szCs w:val="32"/>
              </w:rPr>
            </w:pPr>
          </w:p>
        </w:tc>
      </w:tr>
      <w:tr w14:paraId="5E1A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92C304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关工委工作经费</w:t>
            </w:r>
          </w:p>
        </w:tc>
        <w:tc>
          <w:tcPr>
            <w:tcW w:w="1701" w:type="dxa"/>
            <w:vAlign w:val="center"/>
          </w:tcPr>
          <w:p w14:paraId="19187B1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w:t>
            </w:r>
          </w:p>
        </w:tc>
        <w:tc>
          <w:tcPr>
            <w:tcW w:w="1560" w:type="dxa"/>
            <w:vAlign w:val="center"/>
          </w:tcPr>
          <w:p w14:paraId="5B01128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263F25F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26,060.00</w:t>
            </w:r>
          </w:p>
        </w:tc>
        <w:tc>
          <w:tcPr>
            <w:tcW w:w="1134" w:type="dxa"/>
            <w:vAlign w:val="center"/>
          </w:tcPr>
          <w:p w14:paraId="1EB23673">
            <w:pPr>
              <w:jc w:val="center"/>
              <w:rPr>
                <w:rFonts w:hint="eastAsia" w:ascii="仿宋_GB2312" w:hAnsi="仿宋_GB2312" w:eastAsia="仿宋_GB2312" w:cs="仿宋_GB2312"/>
                <w:sz w:val="32"/>
                <w:szCs w:val="32"/>
              </w:rPr>
            </w:pPr>
          </w:p>
        </w:tc>
      </w:tr>
      <w:tr w14:paraId="0FF8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CBC32D0">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街乡普法经费</w:t>
            </w:r>
          </w:p>
        </w:tc>
        <w:tc>
          <w:tcPr>
            <w:tcW w:w="1701" w:type="dxa"/>
            <w:vAlign w:val="center"/>
          </w:tcPr>
          <w:p w14:paraId="2500501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w:t>
            </w:r>
          </w:p>
        </w:tc>
        <w:tc>
          <w:tcPr>
            <w:tcW w:w="1560" w:type="dxa"/>
            <w:vAlign w:val="center"/>
          </w:tcPr>
          <w:p w14:paraId="1F23905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C2ABCD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w:t>
            </w:r>
          </w:p>
        </w:tc>
        <w:tc>
          <w:tcPr>
            <w:tcW w:w="1134" w:type="dxa"/>
            <w:vAlign w:val="center"/>
          </w:tcPr>
          <w:p w14:paraId="2C770F17">
            <w:pPr>
              <w:jc w:val="center"/>
              <w:rPr>
                <w:rFonts w:hint="eastAsia" w:ascii="仿宋_GB2312" w:hAnsi="仿宋_GB2312" w:eastAsia="仿宋_GB2312" w:cs="仿宋_GB2312"/>
                <w:sz w:val="32"/>
                <w:szCs w:val="32"/>
              </w:rPr>
            </w:pPr>
          </w:p>
        </w:tc>
      </w:tr>
      <w:tr w14:paraId="0DB9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B5287A8">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街治安巡逻员经费</w:t>
            </w:r>
          </w:p>
        </w:tc>
        <w:tc>
          <w:tcPr>
            <w:tcW w:w="1701" w:type="dxa"/>
            <w:vAlign w:val="center"/>
          </w:tcPr>
          <w:p w14:paraId="09386F7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624,000.00</w:t>
            </w:r>
          </w:p>
        </w:tc>
        <w:tc>
          <w:tcPr>
            <w:tcW w:w="1560" w:type="dxa"/>
            <w:vAlign w:val="center"/>
          </w:tcPr>
          <w:p w14:paraId="3513E6D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E03D1D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624,000.00</w:t>
            </w:r>
          </w:p>
        </w:tc>
        <w:tc>
          <w:tcPr>
            <w:tcW w:w="1134" w:type="dxa"/>
            <w:vAlign w:val="center"/>
          </w:tcPr>
          <w:p w14:paraId="22693EF8">
            <w:pPr>
              <w:jc w:val="center"/>
              <w:rPr>
                <w:rFonts w:hint="eastAsia" w:ascii="仿宋_GB2312" w:hAnsi="仿宋_GB2312" w:eastAsia="仿宋_GB2312" w:cs="仿宋_GB2312"/>
                <w:sz w:val="32"/>
                <w:szCs w:val="32"/>
              </w:rPr>
            </w:pPr>
          </w:p>
        </w:tc>
      </w:tr>
      <w:tr w14:paraId="70AE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6C7C437">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精准扶贫工作经费</w:t>
            </w:r>
          </w:p>
        </w:tc>
        <w:tc>
          <w:tcPr>
            <w:tcW w:w="1701" w:type="dxa"/>
            <w:vAlign w:val="center"/>
          </w:tcPr>
          <w:p w14:paraId="145AB07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68,000.00</w:t>
            </w:r>
          </w:p>
        </w:tc>
        <w:tc>
          <w:tcPr>
            <w:tcW w:w="1560" w:type="dxa"/>
            <w:vAlign w:val="center"/>
          </w:tcPr>
          <w:p w14:paraId="28E9DBA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256E77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68,000.00</w:t>
            </w:r>
          </w:p>
        </w:tc>
        <w:tc>
          <w:tcPr>
            <w:tcW w:w="1134" w:type="dxa"/>
            <w:vAlign w:val="center"/>
          </w:tcPr>
          <w:p w14:paraId="12A1A978">
            <w:pPr>
              <w:jc w:val="center"/>
              <w:rPr>
                <w:rFonts w:hint="eastAsia" w:ascii="仿宋_GB2312" w:hAnsi="仿宋_GB2312" w:eastAsia="仿宋_GB2312" w:cs="仿宋_GB2312"/>
                <w:sz w:val="32"/>
                <w:szCs w:val="32"/>
              </w:rPr>
            </w:pPr>
          </w:p>
        </w:tc>
      </w:tr>
      <w:tr w14:paraId="03AC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6613D1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劳动保障专项经费</w:t>
            </w:r>
          </w:p>
        </w:tc>
        <w:tc>
          <w:tcPr>
            <w:tcW w:w="1701" w:type="dxa"/>
            <w:vAlign w:val="center"/>
          </w:tcPr>
          <w:p w14:paraId="0D4372C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560" w:type="dxa"/>
            <w:vAlign w:val="center"/>
          </w:tcPr>
          <w:p w14:paraId="5A57C7A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05C7EA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97,901.04</w:t>
            </w:r>
          </w:p>
        </w:tc>
        <w:tc>
          <w:tcPr>
            <w:tcW w:w="1134" w:type="dxa"/>
            <w:vAlign w:val="center"/>
          </w:tcPr>
          <w:p w14:paraId="08AFC9AF">
            <w:pPr>
              <w:jc w:val="center"/>
              <w:rPr>
                <w:rFonts w:hint="eastAsia" w:ascii="仿宋_GB2312" w:hAnsi="仿宋_GB2312" w:eastAsia="仿宋_GB2312" w:cs="仿宋_GB2312"/>
                <w:sz w:val="32"/>
                <w:szCs w:val="32"/>
              </w:rPr>
            </w:pPr>
          </w:p>
        </w:tc>
      </w:tr>
      <w:tr w14:paraId="7A2A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0AD0B6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聘请法律顾问经费</w:t>
            </w:r>
          </w:p>
        </w:tc>
        <w:tc>
          <w:tcPr>
            <w:tcW w:w="1701" w:type="dxa"/>
            <w:vAlign w:val="center"/>
          </w:tcPr>
          <w:p w14:paraId="36F9470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560" w:type="dxa"/>
            <w:vAlign w:val="center"/>
          </w:tcPr>
          <w:p w14:paraId="798E5AC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F4554F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134" w:type="dxa"/>
            <w:vAlign w:val="center"/>
          </w:tcPr>
          <w:p w14:paraId="2D4B2B42">
            <w:pPr>
              <w:jc w:val="center"/>
              <w:rPr>
                <w:rFonts w:hint="eastAsia" w:ascii="仿宋_GB2312" w:hAnsi="仿宋_GB2312" w:eastAsia="仿宋_GB2312" w:cs="仿宋_GB2312"/>
                <w:sz w:val="32"/>
                <w:szCs w:val="32"/>
              </w:rPr>
            </w:pPr>
          </w:p>
        </w:tc>
      </w:tr>
      <w:tr w14:paraId="0717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833FB4E">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人民调解员工资</w:t>
            </w:r>
          </w:p>
        </w:tc>
        <w:tc>
          <w:tcPr>
            <w:tcW w:w="1701" w:type="dxa"/>
            <w:vAlign w:val="center"/>
          </w:tcPr>
          <w:p w14:paraId="766B5D3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45,000.00</w:t>
            </w:r>
          </w:p>
        </w:tc>
        <w:tc>
          <w:tcPr>
            <w:tcW w:w="1560" w:type="dxa"/>
            <w:vAlign w:val="center"/>
          </w:tcPr>
          <w:p w14:paraId="1E2FFC1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6473BD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38,300.00</w:t>
            </w:r>
          </w:p>
        </w:tc>
        <w:tc>
          <w:tcPr>
            <w:tcW w:w="1134" w:type="dxa"/>
            <w:vAlign w:val="center"/>
          </w:tcPr>
          <w:p w14:paraId="504D6209">
            <w:pPr>
              <w:jc w:val="center"/>
              <w:rPr>
                <w:rFonts w:hint="eastAsia" w:ascii="仿宋_GB2312" w:hAnsi="仿宋_GB2312" w:eastAsia="仿宋_GB2312" w:cs="仿宋_GB2312"/>
                <w:sz w:val="32"/>
                <w:szCs w:val="32"/>
              </w:rPr>
            </w:pPr>
          </w:p>
        </w:tc>
      </w:tr>
      <w:tr w14:paraId="6F98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3AA3DF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改造工作经费</w:t>
            </w:r>
          </w:p>
        </w:tc>
        <w:tc>
          <w:tcPr>
            <w:tcW w:w="1701" w:type="dxa"/>
            <w:vAlign w:val="center"/>
          </w:tcPr>
          <w:p w14:paraId="22818C2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350,000.00</w:t>
            </w:r>
          </w:p>
        </w:tc>
        <w:tc>
          <w:tcPr>
            <w:tcW w:w="1560" w:type="dxa"/>
            <w:vAlign w:val="center"/>
          </w:tcPr>
          <w:p w14:paraId="5B6749E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6E342D7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350,000.00</w:t>
            </w:r>
          </w:p>
        </w:tc>
        <w:tc>
          <w:tcPr>
            <w:tcW w:w="1134" w:type="dxa"/>
            <w:vAlign w:val="center"/>
          </w:tcPr>
          <w:p w14:paraId="2D0C6D4F">
            <w:pPr>
              <w:jc w:val="center"/>
              <w:rPr>
                <w:rFonts w:hint="eastAsia" w:ascii="仿宋_GB2312" w:hAnsi="仿宋_GB2312" w:eastAsia="仿宋_GB2312" w:cs="仿宋_GB2312"/>
                <w:sz w:val="32"/>
                <w:szCs w:val="32"/>
              </w:rPr>
            </w:pPr>
          </w:p>
        </w:tc>
      </w:tr>
      <w:tr w14:paraId="336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108D9FB">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武装部专项经费</w:t>
            </w:r>
          </w:p>
        </w:tc>
        <w:tc>
          <w:tcPr>
            <w:tcW w:w="1701" w:type="dxa"/>
            <w:vAlign w:val="center"/>
          </w:tcPr>
          <w:p w14:paraId="10DFFE1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560" w:type="dxa"/>
            <w:vAlign w:val="center"/>
          </w:tcPr>
          <w:p w14:paraId="1DD8C74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6425167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134" w:type="dxa"/>
            <w:vAlign w:val="center"/>
          </w:tcPr>
          <w:p w14:paraId="41D7039A">
            <w:pPr>
              <w:jc w:val="center"/>
              <w:rPr>
                <w:rFonts w:hint="eastAsia" w:ascii="仿宋_GB2312" w:hAnsi="仿宋_GB2312" w:eastAsia="仿宋_GB2312" w:cs="仿宋_GB2312"/>
                <w:sz w:val="32"/>
                <w:szCs w:val="32"/>
              </w:rPr>
            </w:pPr>
          </w:p>
        </w:tc>
      </w:tr>
      <w:tr w14:paraId="45F4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BF9C08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信访维稳经费</w:t>
            </w:r>
          </w:p>
        </w:tc>
        <w:tc>
          <w:tcPr>
            <w:tcW w:w="1701" w:type="dxa"/>
            <w:vAlign w:val="center"/>
          </w:tcPr>
          <w:p w14:paraId="09C685E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2,000,000.00</w:t>
            </w:r>
          </w:p>
        </w:tc>
        <w:tc>
          <w:tcPr>
            <w:tcW w:w="1560" w:type="dxa"/>
            <w:vAlign w:val="center"/>
          </w:tcPr>
          <w:p w14:paraId="3C3B163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6F95CE0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1,999,097.50</w:t>
            </w:r>
          </w:p>
        </w:tc>
        <w:tc>
          <w:tcPr>
            <w:tcW w:w="1134" w:type="dxa"/>
            <w:vAlign w:val="center"/>
          </w:tcPr>
          <w:p w14:paraId="70170439">
            <w:pPr>
              <w:jc w:val="center"/>
              <w:rPr>
                <w:rFonts w:hint="eastAsia" w:ascii="仿宋_GB2312" w:hAnsi="仿宋_GB2312" w:eastAsia="仿宋_GB2312" w:cs="仿宋_GB2312"/>
                <w:sz w:val="32"/>
                <w:szCs w:val="32"/>
              </w:rPr>
            </w:pPr>
          </w:p>
        </w:tc>
      </w:tr>
      <w:tr w14:paraId="77F9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B3C7C6E">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青菱都市工业园公交微循环线路专项经费</w:t>
            </w:r>
          </w:p>
        </w:tc>
        <w:tc>
          <w:tcPr>
            <w:tcW w:w="1701" w:type="dxa"/>
            <w:vAlign w:val="center"/>
          </w:tcPr>
          <w:p w14:paraId="5FCFFD8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560" w:type="dxa"/>
            <w:vAlign w:val="center"/>
          </w:tcPr>
          <w:p w14:paraId="24218D8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23400C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134" w:type="dxa"/>
            <w:vAlign w:val="center"/>
          </w:tcPr>
          <w:p w14:paraId="4514DAA8">
            <w:pPr>
              <w:jc w:val="center"/>
              <w:rPr>
                <w:rFonts w:hint="eastAsia" w:ascii="仿宋_GB2312" w:hAnsi="仿宋_GB2312" w:eastAsia="仿宋_GB2312" w:cs="仿宋_GB2312"/>
                <w:sz w:val="32"/>
                <w:szCs w:val="32"/>
              </w:rPr>
            </w:pPr>
          </w:p>
        </w:tc>
      </w:tr>
      <w:tr w14:paraId="35BB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EA0F2E6">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街乡食品药品安全工作站</w:t>
            </w:r>
          </w:p>
        </w:tc>
        <w:tc>
          <w:tcPr>
            <w:tcW w:w="1701" w:type="dxa"/>
            <w:vAlign w:val="center"/>
          </w:tcPr>
          <w:p w14:paraId="052C85A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560" w:type="dxa"/>
            <w:vAlign w:val="center"/>
          </w:tcPr>
          <w:p w14:paraId="5127D5C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0059F3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99,795.50</w:t>
            </w:r>
          </w:p>
        </w:tc>
        <w:tc>
          <w:tcPr>
            <w:tcW w:w="1134" w:type="dxa"/>
            <w:vAlign w:val="center"/>
          </w:tcPr>
          <w:p w14:paraId="59802516">
            <w:pPr>
              <w:jc w:val="center"/>
              <w:rPr>
                <w:rFonts w:hint="eastAsia" w:ascii="仿宋_GB2312" w:hAnsi="仿宋_GB2312" w:eastAsia="仿宋_GB2312" w:cs="仿宋_GB2312"/>
                <w:sz w:val="32"/>
                <w:szCs w:val="32"/>
              </w:rPr>
            </w:pPr>
          </w:p>
        </w:tc>
      </w:tr>
      <w:tr w14:paraId="39C2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D6C978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后勤保障经费补助</w:t>
            </w:r>
          </w:p>
        </w:tc>
        <w:tc>
          <w:tcPr>
            <w:tcW w:w="1701" w:type="dxa"/>
            <w:vAlign w:val="center"/>
          </w:tcPr>
          <w:p w14:paraId="15D25A8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313,200.00</w:t>
            </w:r>
          </w:p>
        </w:tc>
        <w:tc>
          <w:tcPr>
            <w:tcW w:w="1560" w:type="dxa"/>
            <w:vAlign w:val="center"/>
          </w:tcPr>
          <w:p w14:paraId="19CD8B9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708D6B7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313,200.00</w:t>
            </w:r>
          </w:p>
        </w:tc>
        <w:tc>
          <w:tcPr>
            <w:tcW w:w="1134" w:type="dxa"/>
            <w:vAlign w:val="center"/>
          </w:tcPr>
          <w:p w14:paraId="5A136968">
            <w:pPr>
              <w:jc w:val="center"/>
              <w:rPr>
                <w:rFonts w:hint="eastAsia" w:ascii="仿宋_GB2312" w:hAnsi="仿宋_GB2312" w:eastAsia="仿宋_GB2312" w:cs="仿宋_GB2312"/>
                <w:sz w:val="32"/>
                <w:szCs w:val="32"/>
              </w:rPr>
            </w:pPr>
          </w:p>
        </w:tc>
      </w:tr>
      <w:tr w14:paraId="3722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E08A60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工会经费</w:t>
            </w:r>
          </w:p>
        </w:tc>
        <w:tc>
          <w:tcPr>
            <w:tcW w:w="1701" w:type="dxa"/>
            <w:vAlign w:val="center"/>
          </w:tcPr>
          <w:p w14:paraId="69174EA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622,100.00</w:t>
            </w:r>
          </w:p>
        </w:tc>
        <w:tc>
          <w:tcPr>
            <w:tcW w:w="1560" w:type="dxa"/>
            <w:vAlign w:val="center"/>
          </w:tcPr>
          <w:p w14:paraId="5614982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B0027B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622,100.00</w:t>
            </w:r>
          </w:p>
        </w:tc>
        <w:tc>
          <w:tcPr>
            <w:tcW w:w="1134" w:type="dxa"/>
            <w:vAlign w:val="center"/>
          </w:tcPr>
          <w:p w14:paraId="36F52FE7">
            <w:pPr>
              <w:jc w:val="center"/>
              <w:rPr>
                <w:rFonts w:hint="eastAsia" w:ascii="仿宋_GB2312" w:hAnsi="仿宋_GB2312" w:eastAsia="仿宋_GB2312" w:cs="仿宋_GB2312"/>
                <w:sz w:val="32"/>
                <w:szCs w:val="32"/>
              </w:rPr>
            </w:pPr>
          </w:p>
        </w:tc>
      </w:tr>
      <w:tr w14:paraId="5E4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4EE24FA">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应急专项经费</w:t>
            </w:r>
          </w:p>
        </w:tc>
        <w:tc>
          <w:tcPr>
            <w:tcW w:w="1701" w:type="dxa"/>
            <w:vAlign w:val="center"/>
          </w:tcPr>
          <w:p w14:paraId="1BBDEAC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3,000,000.00</w:t>
            </w:r>
          </w:p>
        </w:tc>
        <w:tc>
          <w:tcPr>
            <w:tcW w:w="1560" w:type="dxa"/>
            <w:vAlign w:val="center"/>
          </w:tcPr>
          <w:p w14:paraId="789B5EB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326A98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2,999,485.32</w:t>
            </w:r>
          </w:p>
        </w:tc>
        <w:tc>
          <w:tcPr>
            <w:tcW w:w="1134" w:type="dxa"/>
            <w:vAlign w:val="center"/>
          </w:tcPr>
          <w:p w14:paraId="0A0C5A9F">
            <w:pPr>
              <w:jc w:val="center"/>
              <w:rPr>
                <w:rFonts w:hint="eastAsia" w:ascii="仿宋_GB2312" w:hAnsi="仿宋_GB2312" w:eastAsia="仿宋_GB2312" w:cs="仿宋_GB2312"/>
                <w:sz w:val="32"/>
                <w:szCs w:val="32"/>
              </w:rPr>
            </w:pPr>
          </w:p>
        </w:tc>
      </w:tr>
      <w:tr w14:paraId="586C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08E3CB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村级经济责任审计费</w:t>
            </w:r>
          </w:p>
        </w:tc>
        <w:tc>
          <w:tcPr>
            <w:tcW w:w="1701" w:type="dxa"/>
            <w:vAlign w:val="center"/>
          </w:tcPr>
          <w:p w14:paraId="236FF51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340,000.00</w:t>
            </w:r>
          </w:p>
        </w:tc>
        <w:tc>
          <w:tcPr>
            <w:tcW w:w="1560" w:type="dxa"/>
            <w:vAlign w:val="center"/>
          </w:tcPr>
          <w:p w14:paraId="1224FCA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55736E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340,000.00</w:t>
            </w:r>
          </w:p>
        </w:tc>
        <w:tc>
          <w:tcPr>
            <w:tcW w:w="1134" w:type="dxa"/>
            <w:vAlign w:val="center"/>
          </w:tcPr>
          <w:p w14:paraId="5D36F76B">
            <w:pPr>
              <w:jc w:val="center"/>
              <w:rPr>
                <w:rFonts w:hint="eastAsia" w:ascii="仿宋_GB2312" w:hAnsi="仿宋_GB2312" w:eastAsia="仿宋_GB2312" w:cs="仿宋_GB2312"/>
                <w:sz w:val="32"/>
                <w:szCs w:val="32"/>
              </w:rPr>
            </w:pPr>
          </w:p>
        </w:tc>
      </w:tr>
      <w:tr w14:paraId="6BF5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A68C07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机关大楼运行维护费</w:t>
            </w:r>
          </w:p>
        </w:tc>
        <w:tc>
          <w:tcPr>
            <w:tcW w:w="1701" w:type="dxa"/>
            <w:vAlign w:val="center"/>
          </w:tcPr>
          <w:p w14:paraId="7391707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1,683,500.00</w:t>
            </w:r>
          </w:p>
        </w:tc>
        <w:tc>
          <w:tcPr>
            <w:tcW w:w="1560" w:type="dxa"/>
            <w:vAlign w:val="center"/>
          </w:tcPr>
          <w:p w14:paraId="091428C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2437C88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1,683,500.00</w:t>
            </w:r>
          </w:p>
        </w:tc>
        <w:tc>
          <w:tcPr>
            <w:tcW w:w="1134" w:type="dxa"/>
            <w:vAlign w:val="center"/>
          </w:tcPr>
          <w:p w14:paraId="7C6F6DD2">
            <w:pPr>
              <w:jc w:val="center"/>
              <w:rPr>
                <w:rFonts w:hint="eastAsia" w:ascii="仿宋_GB2312" w:hAnsi="仿宋_GB2312" w:eastAsia="仿宋_GB2312" w:cs="仿宋_GB2312"/>
                <w:sz w:val="32"/>
                <w:szCs w:val="32"/>
              </w:rPr>
            </w:pPr>
          </w:p>
        </w:tc>
      </w:tr>
      <w:tr w14:paraId="08B7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31C1046">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平安社区服务中心建设费</w:t>
            </w:r>
          </w:p>
        </w:tc>
        <w:tc>
          <w:tcPr>
            <w:tcW w:w="1701" w:type="dxa"/>
            <w:vAlign w:val="center"/>
          </w:tcPr>
          <w:p w14:paraId="0FC92E0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560" w:type="dxa"/>
            <w:vAlign w:val="center"/>
          </w:tcPr>
          <w:p w14:paraId="0B9FC25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842" w:type="dxa"/>
            <w:vAlign w:val="center"/>
          </w:tcPr>
          <w:p w14:paraId="051799D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449,322.00</w:t>
            </w:r>
          </w:p>
        </w:tc>
        <w:tc>
          <w:tcPr>
            <w:tcW w:w="1134" w:type="dxa"/>
            <w:vAlign w:val="center"/>
          </w:tcPr>
          <w:p w14:paraId="4D5CD028">
            <w:pPr>
              <w:jc w:val="center"/>
              <w:rPr>
                <w:rFonts w:hint="eastAsia" w:ascii="仿宋_GB2312" w:hAnsi="仿宋_GB2312" w:eastAsia="仿宋_GB2312" w:cs="仿宋_GB2312"/>
                <w:sz w:val="32"/>
                <w:szCs w:val="32"/>
              </w:rPr>
            </w:pPr>
          </w:p>
        </w:tc>
      </w:tr>
      <w:tr w14:paraId="13C0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E9C28D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企业改制遗留问题专项经费</w:t>
            </w:r>
          </w:p>
        </w:tc>
        <w:tc>
          <w:tcPr>
            <w:tcW w:w="1701" w:type="dxa"/>
            <w:vAlign w:val="center"/>
          </w:tcPr>
          <w:p w14:paraId="1FBB229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w:t>
            </w:r>
          </w:p>
        </w:tc>
        <w:tc>
          <w:tcPr>
            <w:tcW w:w="1560" w:type="dxa"/>
            <w:vAlign w:val="center"/>
          </w:tcPr>
          <w:p w14:paraId="70C201D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2E9117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w:t>
            </w:r>
          </w:p>
        </w:tc>
        <w:tc>
          <w:tcPr>
            <w:tcW w:w="1134" w:type="dxa"/>
            <w:vAlign w:val="center"/>
          </w:tcPr>
          <w:p w14:paraId="682BE32E">
            <w:pPr>
              <w:jc w:val="center"/>
              <w:rPr>
                <w:rFonts w:hint="eastAsia" w:ascii="仿宋_GB2312" w:hAnsi="仿宋_GB2312" w:eastAsia="仿宋_GB2312" w:cs="仿宋_GB2312"/>
                <w:sz w:val="32"/>
                <w:szCs w:val="32"/>
              </w:rPr>
            </w:pPr>
          </w:p>
        </w:tc>
      </w:tr>
      <w:tr w14:paraId="7F8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66CEA76">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税收服务站人员经费</w:t>
            </w:r>
          </w:p>
        </w:tc>
        <w:tc>
          <w:tcPr>
            <w:tcW w:w="1701" w:type="dxa"/>
            <w:vAlign w:val="center"/>
          </w:tcPr>
          <w:p w14:paraId="2B3E6BD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315,000.00</w:t>
            </w:r>
          </w:p>
        </w:tc>
        <w:tc>
          <w:tcPr>
            <w:tcW w:w="1560" w:type="dxa"/>
            <w:vAlign w:val="center"/>
          </w:tcPr>
          <w:p w14:paraId="185073C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1680B6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315,000.00</w:t>
            </w:r>
          </w:p>
        </w:tc>
        <w:tc>
          <w:tcPr>
            <w:tcW w:w="1134" w:type="dxa"/>
            <w:vAlign w:val="center"/>
          </w:tcPr>
          <w:p w14:paraId="6DF44327">
            <w:pPr>
              <w:jc w:val="center"/>
              <w:rPr>
                <w:rFonts w:hint="eastAsia" w:ascii="仿宋_GB2312" w:hAnsi="仿宋_GB2312" w:eastAsia="仿宋_GB2312" w:cs="仿宋_GB2312"/>
                <w:sz w:val="32"/>
                <w:szCs w:val="32"/>
              </w:rPr>
            </w:pPr>
          </w:p>
        </w:tc>
      </w:tr>
      <w:tr w14:paraId="6454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3F2FCF25">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政务服务中心运营相关经费</w:t>
            </w:r>
          </w:p>
        </w:tc>
        <w:tc>
          <w:tcPr>
            <w:tcW w:w="1701" w:type="dxa"/>
            <w:vAlign w:val="center"/>
          </w:tcPr>
          <w:p w14:paraId="1117A7E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60,000.00</w:t>
            </w:r>
          </w:p>
        </w:tc>
        <w:tc>
          <w:tcPr>
            <w:tcW w:w="1560" w:type="dxa"/>
            <w:vAlign w:val="center"/>
          </w:tcPr>
          <w:p w14:paraId="34E642A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5B84D2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56,362.10</w:t>
            </w:r>
          </w:p>
        </w:tc>
        <w:tc>
          <w:tcPr>
            <w:tcW w:w="1134" w:type="dxa"/>
            <w:vAlign w:val="center"/>
          </w:tcPr>
          <w:p w14:paraId="16F49953">
            <w:pPr>
              <w:jc w:val="center"/>
              <w:rPr>
                <w:rFonts w:hint="eastAsia" w:ascii="仿宋_GB2312" w:hAnsi="仿宋_GB2312" w:eastAsia="仿宋_GB2312" w:cs="仿宋_GB2312"/>
                <w:sz w:val="32"/>
                <w:szCs w:val="32"/>
              </w:rPr>
            </w:pPr>
          </w:p>
        </w:tc>
      </w:tr>
      <w:tr w14:paraId="005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9EC625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防汛专项经费</w:t>
            </w:r>
          </w:p>
        </w:tc>
        <w:tc>
          <w:tcPr>
            <w:tcW w:w="1701" w:type="dxa"/>
            <w:vAlign w:val="center"/>
          </w:tcPr>
          <w:p w14:paraId="0479224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1,000,000.00</w:t>
            </w:r>
          </w:p>
        </w:tc>
        <w:tc>
          <w:tcPr>
            <w:tcW w:w="1560" w:type="dxa"/>
            <w:vAlign w:val="center"/>
          </w:tcPr>
          <w:p w14:paraId="6BF0527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1F3EF58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997,410.72</w:t>
            </w:r>
          </w:p>
        </w:tc>
        <w:tc>
          <w:tcPr>
            <w:tcW w:w="1134" w:type="dxa"/>
            <w:vAlign w:val="center"/>
          </w:tcPr>
          <w:p w14:paraId="6D0AF286">
            <w:pPr>
              <w:jc w:val="center"/>
              <w:rPr>
                <w:rFonts w:hint="eastAsia" w:ascii="仿宋_GB2312" w:hAnsi="仿宋_GB2312" w:eastAsia="仿宋_GB2312" w:cs="仿宋_GB2312"/>
                <w:sz w:val="32"/>
                <w:szCs w:val="32"/>
              </w:rPr>
            </w:pPr>
          </w:p>
        </w:tc>
      </w:tr>
      <w:tr w14:paraId="2C78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AB77ED2">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后勤费用</w:t>
            </w:r>
          </w:p>
        </w:tc>
        <w:tc>
          <w:tcPr>
            <w:tcW w:w="1701" w:type="dxa"/>
            <w:vAlign w:val="center"/>
          </w:tcPr>
          <w:p w14:paraId="11E9E13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1,047,600.00</w:t>
            </w:r>
          </w:p>
        </w:tc>
        <w:tc>
          <w:tcPr>
            <w:tcW w:w="1560" w:type="dxa"/>
            <w:vAlign w:val="center"/>
          </w:tcPr>
          <w:p w14:paraId="27B6BE2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2FDC09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1,047,600.00</w:t>
            </w:r>
          </w:p>
        </w:tc>
        <w:tc>
          <w:tcPr>
            <w:tcW w:w="1134" w:type="dxa"/>
            <w:vAlign w:val="center"/>
          </w:tcPr>
          <w:p w14:paraId="0AD4E93C">
            <w:pPr>
              <w:jc w:val="center"/>
              <w:rPr>
                <w:rFonts w:hint="eastAsia" w:ascii="仿宋_GB2312" w:hAnsi="仿宋_GB2312" w:eastAsia="仿宋_GB2312" w:cs="仿宋_GB2312"/>
                <w:sz w:val="32"/>
                <w:szCs w:val="32"/>
              </w:rPr>
            </w:pPr>
          </w:p>
        </w:tc>
      </w:tr>
      <w:tr w14:paraId="7F2E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48C43B2">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菊展经费</w:t>
            </w:r>
          </w:p>
        </w:tc>
        <w:tc>
          <w:tcPr>
            <w:tcW w:w="1701" w:type="dxa"/>
            <w:vAlign w:val="center"/>
          </w:tcPr>
          <w:p w14:paraId="3B833CF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560" w:type="dxa"/>
            <w:vAlign w:val="center"/>
          </w:tcPr>
          <w:p w14:paraId="43FDB69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70A9237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134" w:type="dxa"/>
            <w:vAlign w:val="center"/>
          </w:tcPr>
          <w:p w14:paraId="706C12AB">
            <w:pPr>
              <w:jc w:val="center"/>
              <w:rPr>
                <w:rFonts w:hint="eastAsia" w:ascii="仿宋_GB2312" w:hAnsi="仿宋_GB2312" w:eastAsia="仿宋_GB2312" w:cs="仿宋_GB2312"/>
                <w:sz w:val="32"/>
                <w:szCs w:val="32"/>
              </w:rPr>
            </w:pPr>
          </w:p>
        </w:tc>
      </w:tr>
      <w:tr w14:paraId="1100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D15B9A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老桥村圆梦园休闲农庄建设费</w:t>
            </w:r>
          </w:p>
        </w:tc>
        <w:tc>
          <w:tcPr>
            <w:tcW w:w="1701" w:type="dxa"/>
            <w:vAlign w:val="center"/>
          </w:tcPr>
          <w:p w14:paraId="362D54C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560" w:type="dxa"/>
            <w:vAlign w:val="center"/>
          </w:tcPr>
          <w:p w14:paraId="1F8747E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60B8BCE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134" w:type="dxa"/>
            <w:vAlign w:val="center"/>
          </w:tcPr>
          <w:p w14:paraId="12FBC289">
            <w:pPr>
              <w:jc w:val="center"/>
              <w:rPr>
                <w:rFonts w:hint="eastAsia" w:ascii="仿宋_GB2312" w:hAnsi="仿宋_GB2312" w:eastAsia="仿宋_GB2312" w:cs="仿宋_GB2312"/>
                <w:sz w:val="32"/>
                <w:szCs w:val="32"/>
              </w:rPr>
            </w:pPr>
          </w:p>
        </w:tc>
      </w:tr>
      <w:tr w14:paraId="0751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FCEEFBD">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野湖泄洪损失补贴</w:t>
            </w:r>
          </w:p>
        </w:tc>
        <w:tc>
          <w:tcPr>
            <w:tcW w:w="1701" w:type="dxa"/>
            <w:vAlign w:val="center"/>
          </w:tcPr>
          <w:p w14:paraId="6C05EA7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800,000.00</w:t>
            </w:r>
          </w:p>
        </w:tc>
        <w:tc>
          <w:tcPr>
            <w:tcW w:w="1560" w:type="dxa"/>
            <w:vAlign w:val="center"/>
          </w:tcPr>
          <w:p w14:paraId="130C937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73E6618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800,000.00</w:t>
            </w:r>
          </w:p>
        </w:tc>
        <w:tc>
          <w:tcPr>
            <w:tcW w:w="1134" w:type="dxa"/>
            <w:vAlign w:val="center"/>
          </w:tcPr>
          <w:p w14:paraId="5020ECFF">
            <w:pPr>
              <w:jc w:val="center"/>
              <w:rPr>
                <w:rFonts w:hint="eastAsia" w:ascii="仿宋_GB2312" w:hAnsi="仿宋_GB2312" w:eastAsia="仿宋_GB2312" w:cs="仿宋_GB2312"/>
                <w:sz w:val="32"/>
                <w:szCs w:val="32"/>
              </w:rPr>
            </w:pPr>
          </w:p>
        </w:tc>
      </w:tr>
      <w:tr w14:paraId="09B0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E4A10E1">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城管协管员人员经费</w:t>
            </w:r>
          </w:p>
        </w:tc>
        <w:tc>
          <w:tcPr>
            <w:tcW w:w="1701" w:type="dxa"/>
            <w:vAlign w:val="center"/>
          </w:tcPr>
          <w:p w14:paraId="55AA737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4,290,000.00</w:t>
            </w:r>
          </w:p>
        </w:tc>
        <w:tc>
          <w:tcPr>
            <w:tcW w:w="1560" w:type="dxa"/>
            <w:vAlign w:val="center"/>
          </w:tcPr>
          <w:p w14:paraId="3A01197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78C794B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4,290,000.00</w:t>
            </w:r>
          </w:p>
        </w:tc>
        <w:tc>
          <w:tcPr>
            <w:tcW w:w="1134" w:type="dxa"/>
            <w:vAlign w:val="center"/>
          </w:tcPr>
          <w:p w14:paraId="2CC7FAC4">
            <w:pPr>
              <w:jc w:val="center"/>
              <w:rPr>
                <w:rFonts w:hint="eastAsia" w:ascii="仿宋_GB2312" w:hAnsi="仿宋_GB2312" w:eastAsia="仿宋_GB2312" w:cs="仿宋_GB2312"/>
                <w:sz w:val="32"/>
                <w:szCs w:val="32"/>
              </w:rPr>
            </w:pPr>
          </w:p>
        </w:tc>
      </w:tr>
      <w:tr w14:paraId="7839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2452636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河、湖保护与管理经费</w:t>
            </w:r>
          </w:p>
        </w:tc>
        <w:tc>
          <w:tcPr>
            <w:tcW w:w="1701" w:type="dxa"/>
            <w:vAlign w:val="center"/>
          </w:tcPr>
          <w:p w14:paraId="45BE075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500,000.00</w:t>
            </w:r>
          </w:p>
        </w:tc>
        <w:tc>
          <w:tcPr>
            <w:tcW w:w="1560" w:type="dxa"/>
            <w:vAlign w:val="center"/>
          </w:tcPr>
          <w:p w14:paraId="60741C9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1,113,000.00</w:t>
            </w:r>
          </w:p>
        </w:tc>
        <w:tc>
          <w:tcPr>
            <w:tcW w:w="1842" w:type="dxa"/>
            <w:vAlign w:val="center"/>
          </w:tcPr>
          <w:p w14:paraId="7650543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1,613,000.00</w:t>
            </w:r>
          </w:p>
        </w:tc>
        <w:tc>
          <w:tcPr>
            <w:tcW w:w="1134" w:type="dxa"/>
            <w:vAlign w:val="center"/>
          </w:tcPr>
          <w:p w14:paraId="365CFB20">
            <w:pPr>
              <w:jc w:val="center"/>
              <w:rPr>
                <w:rFonts w:hint="eastAsia" w:ascii="仿宋_GB2312" w:hAnsi="仿宋_GB2312" w:eastAsia="仿宋_GB2312" w:cs="仿宋_GB2312"/>
                <w:sz w:val="32"/>
                <w:szCs w:val="32"/>
              </w:rPr>
            </w:pPr>
          </w:p>
        </w:tc>
      </w:tr>
      <w:tr w14:paraId="6F05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BDD316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老桥村丰泽园果树种植基地喷灌建设费</w:t>
            </w:r>
          </w:p>
        </w:tc>
        <w:tc>
          <w:tcPr>
            <w:tcW w:w="1701" w:type="dxa"/>
            <w:vAlign w:val="center"/>
          </w:tcPr>
          <w:p w14:paraId="4BE5EFC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560" w:type="dxa"/>
            <w:vAlign w:val="center"/>
          </w:tcPr>
          <w:p w14:paraId="36561E7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8B91D3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134" w:type="dxa"/>
            <w:vAlign w:val="center"/>
          </w:tcPr>
          <w:p w14:paraId="07B35272">
            <w:pPr>
              <w:jc w:val="center"/>
              <w:rPr>
                <w:rFonts w:hint="eastAsia" w:ascii="仿宋_GB2312" w:hAnsi="仿宋_GB2312" w:eastAsia="仿宋_GB2312" w:cs="仿宋_GB2312"/>
                <w:sz w:val="32"/>
                <w:szCs w:val="32"/>
              </w:rPr>
            </w:pPr>
          </w:p>
        </w:tc>
      </w:tr>
      <w:tr w14:paraId="3113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8936613">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老桥村洪山菜薹生产基地建设资金</w:t>
            </w:r>
          </w:p>
        </w:tc>
        <w:tc>
          <w:tcPr>
            <w:tcW w:w="1701" w:type="dxa"/>
            <w:vAlign w:val="center"/>
          </w:tcPr>
          <w:p w14:paraId="4C65DFE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560" w:type="dxa"/>
            <w:vAlign w:val="center"/>
          </w:tcPr>
          <w:p w14:paraId="7FC73CC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E07F92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150,000.00</w:t>
            </w:r>
          </w:p>
        </w:tc>
        <w:tc>
          <w:tcPr>
            <w:tcW w:w="1134" w:type="dxa"/>
            <w:vAlign w:val="center"/>
          </w:tcPr>
          <w:p w14:paraId="40BB0A5C">
            <w:pPr>
              <w:jc w:val="center"/>
              <w:rPr>
                <w:rFonts w:hint="eastAsia" w:ascii="仿宋_GB2312" w:hAnsi="仿宋_GB2312" w:eastAsia="仿宋_GB2312" w:cs="仿宋_GB2312"/>
                <w:sz w:val="32"/>
                <w:szCs w:val="32"/>
              </w:rPr>
            </w:pPr>
          </w:p>
        </w:tc>
      </w:tr>
      <w:tr w14:paraId="0728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E762515">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临时人员交通费</w:t>
            </w:r>
          </w:p>
        </w:tc>
        <w:tc>
          <w:tcPr>
            <w:tcW w:w="1701" w:type="dxa"/>
            <w:vAlign w:val="center"/>
          </w:tcPr>
          <w:p w14:paraId="0347E7B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120,000.00</w:t>
            </w:r>
          </w:p>
        </w:tc>
        <w:tc>
          <w:tcPr>
            <w:tcW w:w="1560" w:type="dxa"/>
            <w:vAlign w:val="center"/>
          </w:tcPr>
          <w:p w14:paraId="7357AF5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239B4B2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120,000.00</w:t>
            </w:r>
          </w:p>
        </w:tc>
        <w:tc>
          <w:tcPr>
            <w:tcW w:w="1134" w:type="dxa"/>
            <w:vAlign w:val="center"/>
          </w:tcPr>
          <w:p w14:paraId="6A2EC3EB">
            <w:pPr>
              <w:jc w:val="center"/>
              <w:rPr>
                <w:rFonts w:hint="eastAsia" w:ascii="仿宋_GB2312" w:hAnsi="仿宋_GB2312" w:eastAsia="仿宋_GB2312" w:cs="仿宋_GB2312"/>
                <w:sz w:val="32"/>
                <w:szCs w:val="32"/>
              </w:rPr>
            </w:pPr>
          </w:p>
        </w:tc>
      </w:tr>
      <w:tr w14:paraId="2452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0425997">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门前三包</w:t>
            </w:r>
          </w:p>
        </w:tc>
        <w:tc>
          <w:tcPr>
            <w:tcW w:w="1701" w:type="dxa"/>
            <w:vAlign w:val="center"/>
          </w:tcPr>
          <w:p w14:paraId="78857B5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686,500.00</w:t>
            </w:r>
          </w:p>
        </w:tc>
        <w:tc>
          <w:tcPr>
            <w:tcW w:w="1560" w:type="dxa"/>
            <w:vAlign w:val="center"/>
          </w:tcPr>
          <w:p w14:paraId="3078E7B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A33375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686,500.00</w:t>
            </w:r>
          </w:p>
        </w:tc>
        <w:tc>
          <w:tcPr>
            <w:tcW w:w="1134" w:type="dxa"/>
            <w:vAlign w:val="center"/>
          </w:tcPr>
          <w:p w14:paraId="41590BEE">
            <w:pPr>
              <w:jc w:val="center"/>
              <w:rPr>
                <w:rFonts w:hint="eastAsia" w:ascii="仿宋_GB2312" w:hAnsi="仿宋_GB2312" w:eastAsia="仿宋_GB2312" w:cs="仿宋_GB2312"/>
                <w:sz w:val="32"/>
                <w:szCs w:val="32"/>
              </w:rPr>
            </w:pPr>
          </w:p>
        </w:tc>
      </w:tr>
      <w:tr w14:paraId="7460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7932BA1">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网格人员工资</w:t>
            </w:r>
          </w:p>
        </w:tc>
        <w:tc>
          <w:tcPr>
            <w:tcW w:w="1701" w:type="dxa"/>
            <w:vAlign w:val="center"/>
          </w:tcPr>
          <w:p w14:paraId="301A2F4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330,000.00</w:t>
            </w:r>
          </w:p>
        </w:tc>
        <w:tc>
          <w:tcPr>
            <w:tcW w:w="1560" w:type="dxa"/>
            <w:vAlign w:val="center"/>
          </w:tcPr>
          <w:p w14:paraId="0D5B56D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8F5D6E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330,000.00</w:t>
            </w:r>
          </w:p>
        </w:tc>
        <w:tc>
          <w:tcPr>
            <w:tcW w:w="1134" w:type="dxa"/>
            <w:vAlign w:val="center"/>
          </w:tcPr>
          <w:p w14:paraId="1952DAE1">
            <w:pPr>
              <w:jc w:val="center"/>
              <w:rPr>
                <w:rFonts w:hint="eastAsia" w:ascii="仿宋_GB2312" w:hAnsi="仿宋_GB2312" w:eastAsia="仿宋_GB2312" w:cs="仿宋_GB2312"/>
                <w:sz w:val="32"/>
                <w:szCs w:val="32"/>
              </w:rPr>
            </w:pPr>
          </w:p>
        </w:tc>
      </w:tr>
      <w:tr w14:paraId="538F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ED4E50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渔业退网还湖后期费用</w:t>
            </w:r>
          </w:p>
        </w:tc>
        <w:tc>
          <w:tcPr>
            <w:tcW w:w="1701" w:type="dxa"/>
            <w:vAlign w:val="center"/>
          </w:tcPr>
          <w:p w14:paraId="1A4B557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9,721,400.00</w:t>
            </w:r>
          </w:p>
        </w:tc>
        <w:tc>
          <w:tcPr>
            <w:tcW w:w="1560" w:type="dxa"/>
            <w:vAlign w:val="center"/>
          </w:tcPr>
          <w:p w14:paraId="6F543FB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7FFA8A6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9,721,400.00</w:t>
            </w:r>
          </w:p>
        </w:tc>
        <w:tc>
          <w:tcPr>
            <w:tcW w:w="1134" w:type="dxa"/>
            <w:vAlign w:val="center"/>
          </w:tcPr>
          <w:p w14:paraId="20430092">
            <w:pPr>
              <w:jc w:val="center"/>
              <w:rPr>
                <w:rFonts w:hint="eastAsia" w:ascii="仿宋_GB2312" w:hAnsi="仿宋_GB2312" w:eastAsia="仿宋_GB2312" w:cs="仿宋_GB2312"/>
                <w:sz w:val="32"/>
                <w:szCs w:val="32"/>
              </w:rPr>
            </w:pPr>
          </w:p>
        </w:tc>
      </w:tr>
      <w:tr w14:paraId="6D1A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0F78CDB">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统计工作经费（含经济普查）</w:t>
            </w:r>
          </w:p>
        </w:tc>
        <w:tc>
          <w:tcPr>
            <w:tcW w:w="1701" w:type="dxa"/>
            <w:vAlign w:val="center"/>
          </w:tcPr>
          <w:p w14:paraId="53C39FD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560" w:type="dxa"/>
            <w:vAlign w:val="center"/>
          </w:tcPr>
          <w:p w14:paraId="28BE7A1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E3B4E3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134" w:type="dxa"/>
            <w:vAlign w:val="center"/>
          </w:tcPr>
          <w:p w14:paraId="4B7EF15C">
            <w:pPr>
              <w:jc w:val="center"/>
              <w:rPr>
                <w:rFonts w:hint="eastAsia" w:ascii="仿宋_GB2312" w:hAnsi="仿宋_GB2312" w:eastAsia="仿宋_GB2312" w:cs="仿宋_GB2312"/>
                <w:sz w:val="32"/>
                <w:szCs w:val="32"/>
              </w:rPr>
            </w:pPr>
          </w:p>
        </w:tc>
      </w:tr>
      <w:tr w14:paraId="04AD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791617E">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文明创建经费</w:t>
            </w:r>
          </w:p>
        </w:tc>
        <w:tc>
          <w:tcPr>
            <w:tcW w:w="1701" w:type="dxa"/>
            <w:vAlign w:val="center"/>
          </w:tcPr>
          <w:p w14:paraId="60A02C7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600,000.00</w:t>
            </w:r>
          </w:p>
        </w:tc>
        <w:tc>
          <w:tcPr>
            <w:tcW w:w="1560" w:type="dxa"/>
            <w:vAlign w:val="center"/>
          </w:tcPr>
          <w:p w14:paraId="2365272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1975F10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600,000.00</w:t>
            </w:r>
          </w:p>
        </w:tc>
        <w:tc>
          <w:tcPr>
            <w:tcW w:w="1134" w:type="dxa"/>
            <w:vAlign w:val="center"/>
          </w:tcPr>
          <w:p w14:paraId="2F478532">
            <w:pPr>
              <w:jc w:val="center"/>
              <w:rPr>
                <w:rFonts w:hint="eastAsia" w:ascii="仿宋_GB2312" w:hAnsi="仿宋_GB2312" w:eastAsia="仿宋_GB2312" w:cs="仿宋_GB2312"/>
                <w:sz w:val="32"/>
                <w:szCs w:val="32"/>
              </w:rPr>
            </w:pPr>
          </w:p>
        </w:tc>
      </w:tr>
      <w:tr w14:paraId="3DCE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7ACD869">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街乡人民调解委员会工作经费</w:t>
            </w:r>
          </w:p>
        </w:tc>
        <w:tc>
          <w:tcPr>
            <w:tcW w:w="1701" w:type="dxa"/>
            <w:vAlign w:val="center"/>
          </w:tcPr>
          <w:p w14:paraId="1817F39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w:t>
            </w:r>
          </w:p>
        </w:tc>
        <w:tc>
          <w:tcPr>
            <w:tcW w:w="1560" w:type="dxa"/>
            <w:vAlign w:val="center"/>
          </w:tcPr>
          <w:p w14:paraId="49A2185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2FE38F7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w:t>
            </w:r>
          </w:p>
        </w:tc>
        <w:tc>
          <w:tcPr>
            <w:tcW w:w="1134" w:type="dxa"/>
            <w:vAlign w:val="center"/>
          </w:tcPr>
          <w:p w14:paraId="1C4CDBC4">
            <w:pPr>
              <w:jc w:val="center"/>
              <w:rPr>
                <w:rFonts w:hint="eastAsia" w:ascii="仿宋_GB2312" w:hAnsi="仿宋_GB2312" w:eastAsia="仿宋_GB2312" w:cs="仿宋_GB2312"/>
                <w:sz w:val="32"/>
                <w:szCs w:val="32"/>
              </w:rPr>
            </w:pPr>
          </w:p>
        </w:tc>
      </w:tr>
      <w:tr w14:paraId="6AB2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811EBE5">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社区法务工作室经费</w:t>
            </w:r>
          </w:p>
        </w:tc>
        <w:tc>
          <w:tcPr>
            <w:tcW w:w="1701" w:type="dxa"/>
            <w:vAlign w:val="center"/>
          </w:tcPr>
          <w:p w14:paraId="0C27AA1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50,000.00</w:t>
            </w:r>
          </w:p>
        </w:tc>
        <w:tc>
          <w:tcPr>
            <w:tcW w:w="1560" w:type="dxa"/>
            <w:vAlign w:val="center"/>
          </w:tcPr>
          <w:p w14:paraId="2DDC77E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114EBE0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25,000.00</w:t>
            </w:r>
          </w:p>
        </w:tc>
        <w:tc>
          <w:tcPr>
            <w:tcW w:w="1134" w:type="dxa"/>
            <w:vAlign w:val="center"/>
          </w:tcPr>
          <w:p w14:paraId="7778A822">
            <w:pPr>
              <w:jc w:val="center"/>
              <w:rPr>
                <w:rFonts w:hint="eastAsia" w:ascii="仿宋_GB2312" w:hAnsi="仿宋_GB2312" w:eastAsia="仿宋_GB2312" w:cs="仿宋_GB2312"/>
                <w:sz w:val="32"/>
                <w:szCs w:val="32"/>
              </w:rPr>
            </w:pPr>
          </w:p>
        </w:tc>
      </w:tr>
      <w:tr w14:paraId="269B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333508F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综治经费</w:t>
            </w:r>
          </w:p>
        </w:tc>
        <w:tc>
          <w:tcPr>
            <w:tcW w:w="1701" w:type="dxa"/>
            <w:vAlign w:val="center"/>
          </w:tcPr>
          <w:p w14:paraId="3225EBE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600,000.00</w:t>
            </w:r>
          </w:p>
        </w:tc>
        <w:tc>
          <w:tcPr>
            <w:tcW w:w="1560" w:type="dxa"/>
            <w:vAlign w:val="center"/>
          </w:tcPr>
          <w:p w14:paraId="079E834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071513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598,991.39</w:t>
            </w:r>
          </w:p>
        </w:tc>
        <w:tc>
          <w:tcPr>
            <w:tcW w:w="1134" w:type="dxa"/>
            <w:vAlign w:val="center"/>
          </w:tcPr>
          <w:p w14:paraId="78AD57EF">
            <w:pPr>
              <w:jc w:val="center"/>
              <w:rPr>
                <w:rFonts w:hint="eastAsia" w:ascii="仿宋_GB2312" w:hAnsi="仿宋_GB2312" w:eastAsia="仿宋_GB2312" w:cs="仿宋_GB2312"/>
                <w:sz w:val="32"/>
                <w:szCs w:val="32"/>
              </w:rPr>
            </w:pPr>
          </w:p>
        </w:tc>
      </w:tr>
      <w:tr w14:paraId="7AE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9478924">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文体专项补助经费</w:t>
            </w:r>
          </w:p>
        </w:tc>
        <w:tc>
          <w:tcPr>
            <w:tcW w:w="1701" w:type="dxa"/>
            <w:vAlign w:val="center"/>
          </w:tcPr>
          <w:p w14:paraId="25382E6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420,000.00</w:t>
            </w:r>
          </w:p>
        </w:tc>
        <w:tc>
          <w:tcPr>
            <w:tcW w:w="1560" w:type="dxa"/>
            <w:vAlign w:val="center"/>
          </w:tcPr>
          <w:p w14:paraId="78F8D86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04A03FA">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420,000.00</w:t>
            </w:r>
          </w:p>
        </w:tc>
        <w:tc>
          <w:tcPr>
            <w:tcW w:w="1134" w:type="dxa"/>
            <w:vAlign w:val="center"/>
          </w:tcPr>
          <w:p w14:paraId="390E4988">
            <w:pPr>
              <w:jc w:val="center"/>
              <w:rPr>
                <w:rFonts w:hint="eastAsia" w:ascii="仿宋_GB2312" w:hAnsi="仿宋_GB2312" w:eastAsia="仿宋_GB2312" w:cs="仿宋_GB2312"/>
                <w:sz w:val="32"/>
                <w:szCs w:val="32"/>
              </w:rPr>
            </w:pPr>
          </w:p>
        </w:tc>
      </w:tr>
      <w:tr w14:paraId="76DA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117DCC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社区（村）管理工作经费</w:t>
            </w:r>
          </w:p>
        </w:tc>
        <w:tc>
          <w:tcPr>
            <w:tcW w:w="1701" w:type="dxa"/>
            <w:vAlign w:val="center"/>
          </w:tcPr>
          <w:p w14:paraId="5DC500F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540,000.00</w:t>
            </w:r>
          </w:p>
        </w:tc>
        <w:tc>
          <w:tcPr>
            <w:tcW w:w="1560" w:type="dxa"/>
            <w:vAlign w:val="center"/>
          </w:tcPr>
          <w:p w14:paraId="3B88D31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CD7CA5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540,000.00</w:t>
            </w:r>
          </w:p>
        </w:tc>
        <w:tc>
          <w:tcPr>
            <w:tcW w:w="1134" w:type="dxa"/>
            <w:vAlign w:val="center"/>
          </w:tcPr>
          <w:p w14:paraId="357D2576">
            <w:pPr>
              <w:jc w:val="center"/>
              <w:rPr>
                <w:rFonts w:hint="eastAsia" w:ascii="仿宋_GB2312" w:hAnsi="仿宋_GB2312" w:eastAsia="仿宋_GB2312" w:cs="仿宋_GB2312"/>
                <w:sz w:val="32"/>
                <w:szCs w:val="32"/>
              </w:rPr>
            </w:pPr>
          </w:p>
        </w:tc>
      </w:tr>
      <w:tr w14:paraId="0DA8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13A6CD5">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临时人员</w:t>
            </w:r>
          </w:p>
        </w:tc>
        <w:tc>
          <w:tcPr>
            <w:tcW w:w="1701" w:type="dxa"/>
            <w:vAlign w:val="center"/>
          </w:tcPr>
          <w:p w14:paraId="64F862F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1,440,000.00</w:t>
            </w:r>
          </w:p>
        </w:tc>
        <w:tc>
          <w:tcPr>
            <w:tcW w:w="1560" w:type="dxa"/>
            <w:vAlign w:val="center"/>
          </w:tcPr>
          <w:p w14:paraId="31A73A9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1CD5965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1,440,000.00</w:t>
            </w:r>
          </w:p>
        </w:tc>
        <w:tc>
          <w:tcPr>
            <w:tcW w:w="1134" w:type="dxa"/>
            <w:vAlign w:val="center"/>
          </w:tcPr>
          <w:p w14:paraId="1847677A">
            <w:pPr>
              <w:jc w:val="center"/>
              <w:rPr>
                <w:rFonts w:hint="eastAsia" w:ascii="仿宋_GB2312" w:hAnsi="仿宋_GB2312" w:eastAsia="仿宋_GB2312" w:cs="仿宋_GB2312"/>
                <w:sz w:val="32"/>
                <w:szCs w:val="32"/>
              </w:rPr>
            </w:pPr>
          </w:p>
        </w:tc>
      </w:tr>
      <w:tr w14:paraId="6357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3D1A7C1D">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社区安保队员流动人口和出租屋协管员工作</w:t>
            </w:r>
          </w:p>
        </w:tc>
        <w:tc>
          <w:tcPr>
            <w:tcW w:w="1701" w:type="dxa"/>
            <w:vAlign w:val="center"/>
          </w:tcPr>
          <w:p w14:paraId="4287D79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1,915,200.00</w:t>
            </w:r>
          </w:p>
        </w:tc>
        <w:tc>
          <w:tcPr>
            <w:tcW w:w="1560" w:type="dxa"/>
            <w:vAlign w:val="center"/>
          </w:tcPr>
          <w:p w14:paraId="4B80EC4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49771E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1,915,200.00</w:t>
            </w:r>
          </w:p>
        </w:tc>
        <w:tc>
          <w:tcPr>
            <w:tcW w:w="1134" w:type="dxa"/>
            <w:vAlign w:val="center"/>
          </w:tcPr>
          <w:p w14:paraId="11D7E72D">
            <w:pPr>
              <w:jc w:val="center"/>
              <w:rPr>
                <w:rFonts w:hint="eastAsia" w:ascii="仿宋_GB2312" w:hAnsi="仿宋_GB2312" w:eastAsia="仿宋_GB2312" w:cs="仿宋_GB2312"/>
                <w:sz w:val="32"/>
                <w:szCs w:val="32"/>
              </w:rPr>
            </w:pPr>
          </w:p>
        </w:tc>
      </w:tr>
      <w:tr w14:paraId="3192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5205C58">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民政优抚专项经费含扶贫</w:t>
            </w:r>
          </w:p>
        </w:tc>
        <w:tc>
          <w:tcPr>
            <w:tcW w:w="1701" w:type="dxa"/>
            <w:vAlign w:val="center"/>
          </w:tcPr>
          <w:p w14:paraId="637E430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400,000.00</w:t>
            </w:r>
          </w:p>
        </w:tc>
        <w:tc>
          <w:tcPr>
            <w:tcW w:w="1560" w:type="dxa"/>
            <w:vAlign w:val="center"/>
          </w:tcPr>
          <w:p w14:paraId="194F4687">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A9E0962">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400,000.00</w:t>
            </w:r>
          </w:p>
        </w:tc>
        <w:tc>
          <w:tcPr>
            <w:tcW w:w="1134" w:type="dxa"/>
            <w:vAlign w:val="center"/>
          </w:tcPr>
          <w:p w14:paraId="29DDE523">
            <w:pPr>
              <w:jc w:val="center"/>
              <w:rPr>
                <w:rFonts w:hint="eastAsia" w:ascii="仿宋_GB2312" w:hAnsi="仿宋_GB2312" w:eastAsia="仿宋_GB2312" w:cs="仿宋_GB2312"/>
                <w:sz w:val="32"/>
                <w:szCs w:val="32"/>
              </w:rPr>
            </w:pPr>
          </w:p>
        </w:tc>
      </w:tr>
      <w:tr w14:paraId="4BD3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507BD53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合管站经费</w:t>
            </w:r>
          </w:p>
        </w:tc>
        <w:tc>
          <w:tcPr>
            <w:tcW w:w="1701" w:type="dxa"/>
            <w:vAlign w:val="center"/>
          </w:tcPr>
          <w:p w14:paraId="21E0810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560" w:type="dxa"/>
            <w:vAlign w:val="center"/>
          </w:tcPr>
          <w:p w14:paraId="75E3B5D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7D354F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w:t>
            </w:r>
          </w:p>
        </w:tc>
        <w:tc>
          <w:tcPr>
            <w:tcW w:w="1134" w:type="dxa"/>
            <w:vAlign w:val="center"/>
          </w:tcPr>
          <w:p w14:paraId="14E2856A">
            <w:pPr>
              <w:jc w:val="center"/>
              <w:rPr>
                <w:rFonts w:hint="eastAsia" w:ascii="仿宋_GB2312" w:hAnsi="仿宋_GB2312" w:eastAsia="仿宋_GB2312" w:cs="仿宋_GB2312"/>
                <w:sz w:val="32"/>
                <w:szCs w:val="32"/>
              </w:rPr>
            </w:pPr>
          </w:p>
        </w:tc>
      </w:tr>
      <w:tr w14:paraId="3FEF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FF5A50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卫生计生专项经费</w:t>
            </w:r>
          </w:p>
        </w:tc>
        <w:tc>
          <w:tcPr>
            <w:tcW w:w="1701" w:type="dxa"/>
            <w:vAlign w:val="center"/>
          </w:tcPr>
          <w:p w14:paraId="10114A3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110,000.00</w:t>
            </w:r>
          </w:p>
        </w:tc>
        <w:tc>
          <w:tcPr>
            <w:tcW w:w="1560" w:type="dxa"/>
            <w:vAlign w:val="center"/>
          </w:tcPr>
          <w:p w14:paraId="61FABB71">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F69399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109,954.68</w:t>
            </w:r>
          </w:p>
        </w:tc>
        <w:tc>
          <w:tcPr>
            <w:tcW w:w="1134" w:type="dxa"/>
            <w:vAlign w:val="center"/>
          </w:tcPr>
          <w:p w14:paraId="7140B26E">
            <w:pPr>
              <w:jc w:val="center"/>
              <w:rPr>
                <w:rFonts w:hint="eastAsia" w:ascii="仿宋_GB2312" w:hAnsi="仿宋_GB2312" w:eastAsia="仿宋_GB2312" w:cs="仿宋_GB2312"/>
                <w:sz w:val="32"/>
                <w:szCs w:val="32"/>
              </w:rPr>
            </w:pPr>
          </w:p>
        </w:tc>
      </w:tr>
      <w:tr w14:paraId="12B3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1DA0C6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环保经费</w:t>
            </w:r>
          </w:p>
        </w:tc>
        <w:tc>
          <w:tcPr>
            <w:tcW w:w="1701" w:type="dxa"/>
            <w:vAlign w:val="center"/>
          </w:tcPr>
          <w:p w14:paraId="367B0AD6">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800,000.00</w:t>
            </w:r>
          </w:p>
        </w:tc>
        <w:tc>
          <w:tcPr>
            <w:tcW w:w="1560" w:type="dxa"/>
            <w:vAlign w:val="center"/>
          </w:tcPr>
          <w:p w14:paraId="39A28CFF">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21E88E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800,000.00</w:t>
            </w:r>
          </w:p>
        </w:tc>
        <w:tc>
          <w:tcPr>
            <w:tcW w:w="1134" w:type="dxa"/>
            <w:vAlign w:val="center"/>
          </w:tcPr>
          <w:p w14:paraId="0EF0B95A">
            <w:pPr>
              <w:jc w:val="center"/>
              <w:rPr>
                <w:rFonts w:hint="eastAsia" w:ascii="仿宋_GB2312" w:hAnsi="仿宋_GB2312" w:eastAsia="仿宋_GB2312" w:cs="仿宋_GB2312"/>
                <w:sz w:val="32"/>
                <w:szCs w:val="32"/>
              </w:rPr>
            </w:pPr>
          </w:p>
        </w:tc>
      </w:tr>
      <w:tr w14:paraId="4171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F8B9AB8">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道路清扫保洁经费</w:t>
            </w:r>
          </w:p>
        </w:tc>
        <w:tc>
          <w:tcPr>
            <w:tcW w:w="1701" w:type="dxa"/>
            <w:vAlign w:val="center"/>
          </w:tcPr>
          <w:p w14:paraId="7641B93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10,984,300.00</w:t>
            </w:r>
          </w:p>
        </w:tc>
        <w:tc>
          <w:tcPr>
            <w:tcW w:w="1560" w:type="dxa"/>
            <w:vAlign w:val="center"/>
          </w:tcPr>
          <w:p w14:paraId="108901F9">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2,550,700.00</w:t>
            </w:r>
          </w:p>
        </w:tc>
        <w:tc>
          <w:tcPr>
            <w:tcW w:w="1842" w:type="dxa"/>
            <w:vAlign w:val="center"/>
          </w:tcPr>
          <w:p w14:paraId="66F50AE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13,535,000.00</w:t>
            </w:r>
          </w:p>
        </w:tc>
        <w:tc>
          <w:tcPr>
            <w:tcW w:w="1134" w:type="dxa"/>
            <w:vAlign w:val="center"/>
          </w:tcPr>
          <w:p w14:paraId="5B2A8737">
            <w:pPr>
              <w:jc w:val="center"/>
              <w:rPr>
                <w:rFonts w:hint="eastAsia" w:ascii="仿宋_GB2312" w:hAnsi="仿宋_GB2312" w:eastAsia="仿宋_GB2312" w:cs="仿宋_GB2312"/>
                <w:sz w:val="32"/>
                <w:szCs w:val="32"/>
              </w:rPr>
            </w:pPr>
          </w:p>
        </w:tc>
      </w:tr>
      <w:tr w14:paraId="5266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C2DA421">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城市排渍经费</w:t>
            </w:r>
          </w:p>
        </w:tc>
        <w:tc>
          <w:tcPr>
            <w:tcW w:w="1701" w:type="dxa"/>
            <w:vAlign w:val="center"/>
          </w:tcPr>
          <w:p w14:paraId="39D870D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560" w:type="dxa"/>
            <w:vAlign w:val="center"/>
          </w:tcPr>
          <w:p w14:paraId="5ADCC134">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3F96463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300,000.00</w:t>
            </w:r>
          </w:p>
        </w:tc>
        <w:tc>
          <w:tcPr>
            <w:tcW w:w="1134" w:type="dxa"/>
            <w:vAlign w:val="center"/>
          </w:tcPr>
          <w:p w14:paraId="1B40019C">
            <w:pPr>
              <w:jc w:val="center"/>
              <w:rPr>
                <w:rFonts w:hint="eastAsia" w:ascii="仿宋_GB2312" w:hAnsi="仿宋_GB2312" w:eastAsia="仿宋_GB2312" w:cs="仿宋_GB2312"/>
                <w:sz w:val="32"/>
                <w:szCs w:val="32"/>
              </w:rPr>
            </w:pPr>
          </w:p>
        </w:tc>
      </w:tr>
      <w:tr w14:paraId="172F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4B4DC150">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大城管专项补助经费</w:t>
            </w:r>
          </w:p>
        </w:tc>
        <w:tc>
          <w:tcPr>
            <w:tcW w:w="1701" w:type="dxa"/>
            <w:vAlign w:val="center"/>
          </w:tcPr>
          <w:p w14:paraId="716BE73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11,426,900.00</w:t>
            </w:r>
          </w:p>
        </w:tc>
        <w:tc>
          <w:tcPr>
            <w:tcW w:w="1560" w:type="dxa"/>
            <w:vAlign w:val="center"/>
          </w:tcPr>
          <w:p w14:paraId="46FEDD5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781,700.00</w:t>
            </w:r>
          </w:p>
        </w:tc>
        <w:tc>
          <w:tcPr>
            <w:tcW w:w="1842" w:type="dxa"/>
            <w:vAlign w:val="center"/>
          </w:tcPr>
          <w:p w14:paraId="3656F6D8">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12,208,600.00</w:t>
            </w:r>
          </w:p>
        </w:tc>
        <w:tc>
          <w:tcPr>
            <w:tcW w:w="1134" w:type="dxa"/>
            <w:vAlign w:val="center"/>
          </w:tcPr>
          <w:p w14:paraId="745E1F75">
            <w:pPr>
              <w:jc w:val="center"/>
              <w:rPr>
                <w:rFonts w:hint="eastAsia" w:ascii="仿宋_GB2312" w:hAnsi="仿宋_GB2312" w:eastAsia="仿宋_GB2312" w:cs="仿宋_GB2312"/>
                <w:sz w:val="32"/>
                <w:szCs w:val="32"/>
              </w:rPr>
            </w:pPr>
          </w:p>
        </w:tc>
      </w:tr>
      <w:tr w14:paraId="0F5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08543670">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兽医站经费</w:t>
            </w:r>
          </w:p>
        </w:tc>
        <w:tc>
          <w:tcPr>
            <w:tcW w:w="1701" w:type="dxa"/>
            <w:vAlign w:val="center"/>
          </w:tcPr>
          <w:p w14:paraId="7B52B53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560" w:type="dxa"/>
            <w:vAlign w:val="center"/>
          </w:tcPr>
          <w:p w14:paraId="40787D3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49FAAD5C">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100,000.00</w:t>
            </w:r>
          </w:p>
        </w:tc>
        <w:tc>
          <w:tcPr>
            <w:tcW w:w="1134" w:type="dxa"/>
            <w:vAlign w:val="center"/>
          </w:tcPr>
          <w:p w14:paraId="4DE32416">
            <w:pPr>
              <w:jc w:val="center"/>
              <w:rPr>
                <w:rFonts w:hint="eastAsia" w:ascii="仿宋_GB2312" w:hAnsi="仿宋_GB2312" w:eastAsia="仿宋_GB2312" w:cs="仿宋_GB2312"/>
                <w:sz w:val="32"/>
                <w:szCs w:val="32"/>
              </w:rPr>
            </w:pPr>
          </w:p>
        </w:tc>
      </w:tr>
      <w:tr w14:paraId="4A34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77516EF3">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农业水利经费</w:t>
            </w:r>
          </w:p>
        </w:tc>
        <w:tc>
          <w:tcPr>
            <w:tcW w:w="1701" w:type="dxa"/>
            <w:vAlign w:val="center"/>
          </w:tcPr>
          <w:p w14:paraId="2310BA4D">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160,000.00</w:t>
            </w:r>
          </w:p>
        </w:tc>
        <w:tc>
          <w:tcPr>
            <w:tcW w:w="1560" w:type="dxa"/>
            <w:vAlign w:val="center"/>
          </w:tcPr>
          <w:p w14:paraId="22B9BA25">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02C9A620">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160,000.00</w:t>
            </w:r>
          </w:p>
        </w:tc>
        <w:tc>
          <w:tcPr>
            <w:tcW w:w="1134" w:type="dxa"/>
            <w:vAlign w:val="center"/>
          </w:tcPr>
          <w:p w14:paraId="15FB4106">
            <w:pPr>
              <w:jc w:val="center"/>
              <w:rPr>
                <w:rFonts w:hint="eastAsia" w:ascii="仿宋_GB2312" w:hAnsi="仿宋_GB2312" w:eastAsia="仿宋_GB2312" w:cs="仿宋_GB2312"/>
                <w:sz w:val="32"/>
                <w:szCs w:val="32"/>
              </w:rPr>
            </w:pPr>
          </w:p>
        </w:tc>
      </w:tr>
      <w:tr w14:paraId="2CF3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6147C9BA">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以钱养事经费</w:t>
            </w:r>
          </w:p>
        </w:tc>
        <w:tc>
          <w:tcPr>
            <w:tcW w:w="1701" w:type="dxa"/>
            <w:vAlign w:val="center"/>
          </w:tcPr>
          <w:p w14:paraId="686C741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1,250,000.00</w:t>
            </w:r>
          </w:p>
        </w:tc>
        <w:tc>
          <w:tcPr>
            <w:tcW w:w="1560" w:type="dxa"/>
            <w:vAlign w:val="center"/>
          </w:tcPr>
          <w:p w14:paraId="517CFCEB">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tc>
        <w:tc>
          <w:tcPr>
            <w:tcW w:w="1842" w:type="dxa"/>
            <w:vAlign w:val="center"/>
          </w:tcPr>
          <w:p w14:paraId="5F95DD7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1,250,000.00</w:t>
            </w:r>
          </w:p>
        </w:tc>
        <w:tc>
          <w:tcPr>
            <w:tcW w:w="1134" w:type="dxa"/>
            <w:vAlign w:val="center"/>
          </w:tcPr>
          <w:p w14:paraId="22DDECFA">
            <w:pPr>
              <w:jc w:val="center"/>
              <w:rPr>
                <w:rFonts w:hint="eastAsia" w:ascii="仿宋_GB2312" w:hAnsi="仿宋_GB2312" w:eastAsia="仿宋_GB2312" w:cs="仿宋_GB2312"/>
                <w:sz w:val="32"/>
                <w:szCs w:val="32"/>
              </w:rPr>
            </w:pPr>
          </w:p>
        </w:tc>
      </w:tr>
      <w:tr w14:paraId="5DD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14:paraId="100DF81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合计</w:t>
            </w:r>
          </w:p>
        </w:tc>
        <w:tc>
          <w:tcPr>
            <w:tcW w:w="1701" w:type="dxa"/>
            <w:vAlign w:val="center"/>
          </w:tcPr>
          <w:p w14:paraId="11E3E8E3">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=SUM(ABOVE)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62,951,900</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.00</w:t>
            </w:r>
          </w:p>
        </w:tc>
        <w:tc>
          <w:tcPr>
            <w:tcW w:w="1560" w:type="dxa"/>
            <w:vAlign w:val="center"/>
          </w:tcPr>
          <w:p w14:paraId="1AA4531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4,595,400.00</w:t>
            </w:r>
          </w:p>
        </w:tc>
        <w:tc>
          <w:tcPr>
            <w:tcW w:w="1842" w:type="dxa"/>
            <w:vAlign w:val="center"/>
          </w:tcPr>
          <w:p w14:paraId="6645D90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=SUM(ABOVE)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67,490,255.93</w:t>
            </w:r>
            <w:r>
              <w:rPr>
                <w:rFonts w:hint="eastAsia" w:ascii="仿宋_GB2312" w:hAnsi="仿宋_GB2312" w:eastAsia="仿宋_GB2312" w:cs="仿宋_GB2312"/>
                <w:sz w:val="32"/>
                <w:szCs w:val="32"/>
              </w:rPr>
              <w:fldChar w:fldCharType="end"/>
            </w:r>
          </w:p>
        </w:tc>
        <w:tc>
          <w:tcPr>
            <w:tcW w:w="1134" w:type="dxa"/>
            <w:vAlign w:val="center"/>
          </w:tcPr>
          <w:p w14:paraId="530EF43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107.21%</w:t>
            </w:r>
          </w:p>
        </w:tc>
      </w:tr>
    </w:tbl>
    <w:p w14:paraId="0153BB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项目资金预算执行率（包括街道办事处财源建设资金追加）为107.21%；如果不包括预算追加或调整，截至评价日，项目资金预算执行为99.91%。</w:t>
      </w:r>
    </w:p>
    <w:p w14:paraId="7C5B9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（四）管理制度及执行情况</w:t>
      </w:r>
    </w:p>
    <w:p w14:paraId="51C1BB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根据国家相关法规的规定，结合单位实际，明确了人员分工及工作职责，建立健全了机关管理制度，实行制度管人、管事、管权。进一步完善了财务管理制度，制定了《内部财务管理控制制度》、《预算业务管理制度》、《收入支出管理总制度》、《政府采购管理相关制度》、《国有资产管理制度》等规章制度，对资金、物资进行管理和使用；严格按照财经纪律规范和使用财政资金，做到资金的使用均有完整的审批程序，并实行专人管理、转账核算、专款专用原则，使财政收支预算执行取到良好的实施效果。</w:t>
      </w:r>
    </w:p>
    <w:p w14:paraId="2A57E3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（五）项目资金的管理</w:t>
      </w:r>
    </w:p>
    <w:p w14:paraId="06E9BB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建立健全项目资金的管理的领导、组织机构，项目资金支出由党政会议集体研究决定，由分管领导具体负责实施。项目招投标按照招投标管理办法进行公开招投标，实行公开、公平竞争。财政资金管理遵循专款专用原则，严格按照批准的项目预算执行，并按照合同约定和工程价款结算程序支付工程款。对已具备竣工验收条件的项目，及时组织验收、移交使用，及时编报竣工财务决算。同时加强对项目的监督管理，采取事前、事中、事后相结合，日常监督和专项监督相结合的方式，对项目财务行为实施全过程监督管理。</w:t>
      </w:r>
    </w:p>
    <w:p w14:paraId="7BC1475A">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二、预算绩效目标</w:t>
      </w:r>
    </w:p>
    <w:p w14:paraId="4708B2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青菱街道办的预算绩效目标主要是围绕与洪山区委、区政府签订的2018年绩效管理目标来进行，具体有：</w:t>
      </w:r>
    </w:p>
    <w:p w14:paraId="6FB85E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继续加强基层党建工作，深入学习宣传贯彻党的十九大精神；二是牢筑底线，不断加强党风廉政建设；三是加大招商引资力度，服务园区企业，稳中求进；四是持续推进征地征收，科学合理规划，加快发展；五是继续统筹区域发展，对企业信息应统尽统；六是指导社区（村）自治，继续加强对村级“三资”的监管力度；七是维护公共安全，积极化解信访积案，维护稳定；八是继续为居民提供优质服务，增强居民获得感；九是强化综合管理能力，改善青菱地区面貌。</w:t>
      </w:r>
    </w:p>
    <w:p w14:paraId="56595D4C">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三、评价思路和过程</w:t>
      </w:r>
    </w:p>
    <w:p w14:paraId="0758A8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（一）评价思路</w:t>
      </w:r>
    </w:p>
    <w:p w14:paraId="606D8A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自评（以下简称“绩效自评”）是指财政资金使用过程中，预算部门（单位）和资金使用单位根据设定的绩效目标，运用科学、合理的绩效评价指标、评价标准和评价方法，对财政支出的经济性、效率性和效益性进行客观、公正的评价。</w:t>
      </w:r>
    </w:p>
    <w:p w14:paraId="760C7A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（二）评价目的</w:t>
      </w:r>
    </w:p>
    <w:p w14:paraId="717DE6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绩效自评重点评价资金使用过程中的节约性和产出效果，看“花钱是否值得”，属于有效性监督。</w:t>
      </w:r>
    </w:p>
    <w:p w14:paraId="249BBC6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（三）评价依据 </w:t>
      </w:r>
    </w:p>
    <w:p w14:paraId="065357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国家相关法律、法规和规章制度；二是上级部门或区委、区政府制定的政策和文件；三是预算管理制度、项目及财务管理办法；四是部门职能职责、中长期发展规划及年度工作计划；五是部门申请预算时提出的绩效目标及其他相关材料，预算批复，年度预算执行情况，年度决算报告；六是其他相关资料。</w:t>
      </w:r>
    </w:p>
    <w:p w14:paraId="18B5DF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（四）评价对象及评价时段</w:t>
      </w:r>
    </w:p>
    <w:p w14:paraId="10B805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绩效自评的范围覆盖全部财政资金支出，即：所有纳入预算管理的财政资金，包括一般公共预算、政府性基金预算等。</w:t>
      </w:r>
    </w:p>
    <w:p w14:paraId="25F221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绩效自评的对象包括部门整体支出绩效和项目支出绩效。</w:t>
      </w:r>
    </w:p>
    <w:p w14:paraId="5A1999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绩效自评一般以一个预算年度为周期实施，评价基准日为上年12月31日。本次绩效自评时间范围为2018年1月1日至2018年12月31日青菱街道办全部财政资金支出的绩效情况。</w:t>
      </w:r>
    </w:p>
    <w:p w14:paraId="79761E00">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四、2018年开展工作及效益</w:t>
      </w:r>
    </w:p>
    <w:p w14:paraId="5EBE09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（一）严肃党内生活，强化党内监督，落实党建工作责任</w:t>
      </w:r>
    </w:p>
    <w:p w14:paraId="15329F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狠抓党建工作，把关意识形态。科学部署党建工作，切实促进全街道党建“提质增效”；严格组织生活，认真学习贯彻各类文件，严格落实“三会一课”、民主评议党员和民主生活会、组织生活会和党员领导干部参加双重组织生活等制度，把批评与自我批评作为严肃党内政治生活的重要手段；抓好日常监督和党员民主监督工作，对反映党员干部的苗头性倾向性问题，及时开展谈话提醒、诫勉、函询；全面推进党建宣传工作，加强党建特色重点工作报送。今年以来，向市、区各级媒体投稿200余篇，部分被市（区）级媒体采用；推进辅助党建工作，审核全年发展对象资料并报送；参加“两新”组织会议及2018换届选举工作会；认真学习贯彻会议各类文件，写好各类简报并报送；推进高校区域化党建。打造“学城联动”特色项目，推进党建融合。</w:t>
      </w:r>
    </w:p>
    <w:p w14:paraId="60A4B0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政治学习。以落实“支部主题党日”学习为依托，街党工委以上率下，采取干部带头学、支部集中学、党员讨论学等多种形式，各基层党组织通过联系点点长讲党课、书记讲党课、以会代训等多种方式，对党纪党规加强了宣传教育；积极组织辖区7个社区、11个村、1个场的全体党员，集中观看和学习了《两个书记责任谈》专题片，并进行学习交流讨论；执行领导干部任前培训审核制度，加强学习型领导班子建设，建立区管干部培训档案，组织区管干部参加干部选课大学堂6人次，推荐参加各类培训班5人次；及时推送网络教育课程信息。</w:t>
      </w:r>
    </w:p>
    <w:p w14:paraId="71CD61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党建考评和宣传。开展基层党建评议，深入学习贯彻习近平新时代中国特色社会主义思想和党的十九大精神，进一步压紧压实党组织书记抓基层党建政治责任，推动全面从严治党向纵深发展、向基层延伸；加强党员教育管理，深化“支部主题党日”活动，全面推行“5+N”模式；组织全体党员集中观看《不忘初心，警钟长鸣》警示教育片，开展“政治生日一日捐”活动，累计筹集“红色基金”捐款20004元，捐款255人次，各支部结合“支部主题党日”，深入开展“温誓词、忆初心，赠良言、送诤语”活动，7月，各支部以“牢记嘱托不忘初心”组织一次集中学习，街道领导班子成员（挂点领导）带头讲授1次专题党课；探索创新“互联网+党建”，街道利用现有网络资源平台，开展党建信息报送和党员教育宣传活动，各社区、村分别建立微信支部群和微信党小组群，联系党员开展学习教育活动，非公企业党支部利用企业沟通管理平台“钉钉直播”，在线直播主题党日活动，让非党员职工可以在线收看学习，拓展参与学习对象。</w:t>
      </w:r>
    </w:p>
    <w:p w14:paraId="128A2C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街道干部队伍建设。落实区管干部年度工作实事登记制度，组织区管干部制定履职尽责清单11份，将全年目标任务分解到人，签订科级及以下公务员岗位责任书19份，完成科级及以下公务员季度评鉴76人次。严格执行机关干部、社区（村）、集团公司人员出国（境）证照管理审批制度，准确将出国（境）证照录入三资监管系统，从严把握证照申请审批，共审批备案证照办理和借出13次，推动</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从严治党向纵深发展。严格按标准发放津补贴和福利，按时办理工资日常新增停发15人次，工资正常晋档晋级78人次，准确发放五奖、临时性补贴、医疗补助、带薪年休假、年终一次性奖金、年度考核优秀奖金和劳务派遣人员绩效等各类津贴补贴和福利702人次，严格按标准计算房帖和公积金。根据《中华人民共和国个人所得税法》，及时调整个税起征点，按时缴纳个税、残疾人保障金和养老保险26次，办理机关事业单位养老保险新增停保12人次，高效完成公务员年报、编制年报和工资年报。</w:t>
      </w:r>
    </w:p>
    <w:p w14:paraId="659F7B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新宣传载体，切实推进文明建设工作。在区委区政府和区文明委的领导下，每天对辖区进行拉网式巡查，将街党建办结合巡查的问题给社区及相关责任科室下发督办单，督促其进行整改；深化群众性精神文明创建活动，把社会主义核心价值观宣传实践融入社会宣传、融入日常生活、融入文化熏陶，利用基层宣传文化阵地、公共场所和各类社会媒介大力刊播公益广告；全街继续全面深入推进学校、家庭、社会三位一体的德育教育体系建设。加强未成年人教育阵地和机制建设等。</w:t>
      </w:r>
    </w:p>
    <w:p w14:paraId="191A38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统战和老干工作。积极贯彻执行区委统战部各项工作安排和要求，将统战工作融入到日常各项工作中。做好统一战线和民族宗教工作，做好非中共党员党派推荐工作，党员领导干部与党外人士交朋友，为非公企业做好帮扶；构建亲清新型政商关系，服务非公企业健康发展，促进非公经济人士健康成长；着眼维护和谐稳定和促进祖国完全统一，加强宗教事务管理和港澳台海外统战工作；服务好退休老干部。定人事干部负责老干工作，及时了解老干生活上的情况，对大病住院干部及时走访慰问等。</w:t>
      </w:r>
    </w:p>
    <w:p w14:paraId="30F973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（二）强化监督执纪问责，抓好作风建设，推动全面从严治党</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纵深发展</w:t>
      </w:r>
    </w:p>
    <w:p w14:paraId="1F74F5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压紧压实“两个责任”，着力加强党的领导。督促修订完善2018年度“两个责任”清单；严格落实党风廉政建设监督责任；促加强对新颁布的《中国共产党章程》《宪法》《监察法》的学习；组织机关支部与社区（村）、场党员干部观看《电视问政》、《“两个责任”书记谈》等电视节目；督促建立领导干部落实主体责任全程纪实制度，健全工作台账，实行痕迹管理；严格要求配偶、子女和身边工作人员纳入领导干部履行主体责任范围；协助街党工委针对2017年度党风廉政建设责任制考核反馈意见以及省委巡视组反馈的“两个责任”落实不力问题进行了全面整改，抓好“两个责任”的贯彻落实，推动党风廉政建设责任制向基层延伸。</w:t>
      </w:r>
    </w:p>
    <w:p w14:paraId="0873A1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续发力纠正“四风”，不断促进党的建设。明确全年督导任务，全面部署明察暗访、巡查督察、纪律审查、执纪问责等各项工作；着力开展专项检查、扶贫领域“三大专项整治行动”、大数据扶贫领域政策落实情况监督检查工作、中央八项规定精神落实情况明察暗访工作；印发通报3期，及时进行通报曝光；制定《青菱街2018年“五一”、端午节期间“四个专项检查”工作方案》；配合街党工委组织五个巡查组对社区（村）、场全年重点工作进行了监督检查；对青江苑社区分房的相关程序进行严格监督；对社区换届选举工作严密监督；密切配合省委第九巡视组和市委第七作风巡查组的驻点巡查工作；开展专项巡查4次，问责10人次；扎实开展“双评议”工作；严密组织营商环境自查自纠；监督街有关部门紧密开展扫黑除恶专项行动，对青菱街渔业社区廖桂林等人涉黑涉恶情况及时通报；稳步推进2018创新工作项目，制发了《青菱街纪工委2018年度创新项目的实施方案》，建立街纪检创新工作领导小组；严密组织《青菱街第十九个党风廉政宣传教育月活动方案》各项内容的落实。</w:t>
      </w:r>
    </w:p>
    <w:p w14:paraId="5D0E70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肃监督执纪，不断推进全面从严治党。规范开展信访调查核实工作，今年共收到信访件24件，办结信访件14件，其中7件为2017年信访件；协助省委巡视组调查核实问题线索2件，完成市第七作风巡查组重点督办工作3件，协助区纪委监委各室调查核实信访件10件；加大执纪审查力度，确保执纪审查安全；健全问题线索排查联席会议制度和工作协作机制，排查出问题线索9条；全年党纪立案6人次，结案5人次；开展自查自纠工作，严格“走读式”谈话对象的审批手续，开展了3次谈话场所安全检查；积极运用监督执纪“四种形态”；针对 “城中村”改造启动的相关问题对渔业社区“两委”全体成员进行了集体约谈。截至目前，提醒谈话37人次、批评教育4人次、责令作出书面检查7人次、通报批评5人次、诫勉谈话2人次。</w:t>
      </w:r>
    </w:p>
    <w:p w14:paraId="7BD5B7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打铁必须自身硬，不断提高纪检队伍工作水平。加强纪检队伍建设，制定了《青菱街2018年度纪检委员培训方案》，坚持每月例会，定期对典型案例通报组织学习，尤其是涉及基层作风及腐败的问题，充分发挥警示教育作用；积极推进纪检信息宣传工作。共向上级纪委筛选报送纪检信息12篇，被省、市纪委、长江日报、荆楚网均已采用。</w:t>
      </w:r>
    </w:p>
    <w:p w14:paraId="154E51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（三）强力推进园区建设，加速城改进度，打造工业倍增示范园区</w:t>
      </w:r>
    </w:p>
    <w:p w14:paraId="21673D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征地拆迁还建安置及交通配套设施快速推进。园区10村1场2018年1-10月共计拆迁总量33939.11平方米，房屋已基本拆除，并同步推进还建房建设，一期共计2276套房屋已完成分房任务，建阳、横堤、金塘、杨林、西湾、火箭、杨泗叽、石咀8个村的部分村民已入住还建房；二期还建房56万平方米已封顶，正在进行绿化和水电施工；三期2646套还建房已启动分房程序，10月份完成1752套还建房分房；四期还建房正在做开工准备；青菱都市工业园区主干道南郊路（别克大道-丽水西路）已经全线通车，建郊西路（四环线-建阳二路）、建阳四路（武嘉高速-建郊西路）已经完工。武嘉高速青菱入口路段及收费服务站基本完工，预计年内投入使用。杨林路、杨林二路、杨林三路、杨林四路、杨泗路、火箭一路、火箭二路等正在进行施工。园区杨林二路、还建房二期开闭所已经完工，正在进行设备安装。</w:t>
      </w:r>
    </w:p>
    <w:p w14:paraId="32FD3E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青菱街征拆建设工作逐步进行。黄家湖西路（学院南路——黄陵庙路延长线）已全线通车，学院北路已经建成通车。黄家湖西路（青菱车辆段-丽水北路）、青菱河南路（丽水北路-烽胜路）、园艺二路（青菱湖东路-武咸公路）、青菱河路（丽水西路-湖淌小路）、黄陵庙路（青郑东路-白沙洲大道）、红霞二路完成征地共计196.88 亩，房屋拆迁1.17万平方米，目前土地已腾退，施工方已进场正常施工。学院南路（白沙洲大道-环湖路）涉及征地33.13亩正在进行征地手续。除涉及青菱渔业村城改范围和中石化加油站部分设施，基本完成武咸公路（三环线-红霞村）红线范围内房屋建筑、构建物和设施障碍的拆除。目前除大市场处的高压线迁改工作未完成，武咸公路建设工作已基本完成。截至目前，地铁5号线红线范围内，征地完成92.75亩，拆迁完成6万平方米，正线范围内征地拆迁全部完成，施工方正常进场施工，车场范围内0.4万平方米正在进行拆迁工作。南三环站已经主体结构封顶，正在进行其他设施修建。</w:t>
      </w:r>
    </w:p>
    <w:p w14:paraId="26388C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园区企业建设情况稳中向好。浦项奥斯特通用配套项目已经于6月份建成，目前已经完成设备安装调试，正在进行试生产；武汉利德测控技术股份有限公司建设6号楼已经完成外装和内装，即将正式入住；联东U谷项目规划设计条件已经确定，供地价格已经确定，正在进行挂牌程序；红霞工业用地项目已经于今年6月份签订招商协议，先开发建设一期用地，红霞集团和中军哈工大企业发展有限公司目前就合作具体内容和方式正在协商，项目规划手续正在办理中，二期97亩绿地调工业地手续正在进行，目前调整方案正在报市园林局审批；老桥华中生态谷项目于今年取得实质性进展，现在项目方正在进行方案设计；武大e+智慧园一期正在加快拆迁工作，项目设计方案正在加紧设计中，项目专家评审会和工业项目准入的准备工作也正在加快推进中；宏海科技项目用地更改至D11-2-3处，园区目前正在同企业进行沟通，加快项目的供地手续；美嘉二期1#车间主体结构封顶，办公楼外墙粉刷完毕，2#厂房钢结构，3#厂房钢结构已经封顶；与白沙洲大市场业主方沟通，配合区统筹局做征收方案，同时主动对接开发单位，寻求新的合作单位；亿童二期已经封顶，正在进行外部装修和内部装修，预计明年完工投入使用；楚安科技装基已完成，正在进行底部结构施工。我街对企业实行跟踪服务式，安排专人多次协调相关部门办理规划建设手续，安排专人协助办理规划建设手续。</w:t>
      </w:r>
    </w:p>
    <w:p w14:paraId="35D1E4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中村改造稳步推进。建和村还建房一期工程全部完成，已经交房；二期工程基本完工，本年内交付；青菱村已过审协议499份和协议面积约14.7万方，还建地块拆迁基本完成，正在进行土地手续的办理，预计明年开工建设;城中村改在开发地块K3、K4地块施工正常进行；渔业村已签协议600户约17.7万方，其中过审508户约14.8万方，渔业村涉及地铁5号线红线范围内的房屋及土地，已全部完成拆除和征收。</w:t>
      </w:r>
    </w:p>
    <w:p w14:paraId="496218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（四）推进综合建设，加速经济发展，为辖区经济发展提供优质服务和保障</w:t>
      </w:r>
    </w:p>
    <w:p w14:paraId="0A183B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目标任务，拼搏赶超促进地区发展。2018年，我街围绕财政收入、固定资产投资、工业产值、社零额、“小进规”、“小进限”等以积极主动作为加强企业联系，以应统尽统态度落实指标统计，保障各项经济指标符合地区发展形势，确保网上直报率99%以上。1-9月份，完成税收6.134973亿元，增幅215.6%；完成固定资产投资额23.9087亿元。1-8月份，完成规上工业总产值7.65509亿元，同比增幅40.9%；完成限上社会消费品零售额6.32025亿元，全口径社零额增幅8.8%。预计新增工业企业“小进规”2家，新增商贸业企业“小进限”1家，新增服务业企业“小进规”2家，目前该4家企业入库申报手续正在办理中，预计11月份入库。</w:t>
      </w:r>
    </w:p>
    <w:p w14:paraId="13E083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服务企业，真抓实干优化营商环境。为促进辖区经济发展，我街积极主动服务辖区企业，不断优化营商环境，营造良好企业发展氛围，以“双万双联”和一对一精准服务规上工业企业工作为抓手，加强与辖区企业联系；围绕质量强市工作，进企业开展质量服务指导，推荐德骼拜尔、威仕科2家企业入围市质量提升计划名单，指导新程、浦项、汇雅科技等加强企业质量管理；组织开展全街防范化解金融风险工作，加大打击非法集资宣传力度；加强再生资源管理，对辖区废品回收站按期进行巡查、整治，为辖区良好环境添砖加瓦；推荐德骼拜尔、增益冷链、森泰环保等优质企业加入区企业联合会，为辖区企业评优评先和品牌创建提供平台等。</w:t>
      </w:r>
    </w:p>
    <w:p w14:paraId="16A724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经济普查，攻坚克难摸清全街家底。组织“两员”开展普查试点和全面清查工作，制定全街经济普查工作方案、成立工作领导小组；对园区71家法人单位和30家个体经营户的进行普查试点工作；完成辖区11个普查区37个普查小区边界划分、建筑物预制和46名“两员”选聘工作；组织普查指导员和普查员参加了市、区、街三级经济普查培训，并召开工作部署会；组织、指导“两员”对辖区所有市场、学校、企业、门店、摊位等进行了“地毯式”入户清查，对全街2109家底册单位和1520家正常纳税单位，以及工商、税务、交管、文体局、食药监等部门提供的单位和个体经营户信息等进行了核实。</w:t>
      </w:r>
    </w:p>
    <w:p w14:paraId="245F44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致力协税护税，全力以赴加强财源建设。我街全力以赴加大协税护税力度，积极主动督促企业本地纳税，为财源建设和税收增长增活力、添动力，实现税收大幅度增长，总量翻番。通过一系列协税护税工作，截止9月份，我街税收增幅已达到215.6%，实现全区第一。</w:t>
      </w:r>
    </w:p>
    <w:p w14:paraId="58D490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（五）增强综合治理能力，切实维护社会和谐稳定</w:t>
      </w:r>
    </w:p>
    <w:p w14:paraId="6E9D8E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开展扫黑除恶专项斗争工作。成立由街领导组成的扫黑除恶专项斗争领导小组，召开了班子会议、专题会议及机关干部、社区、村（场）书记参加的大会，及时传达部署了专项斗争及督查迎检准备工作；严密组织了谈话工作，党工委书记与班子成员谈，班子成员与各社区、村（场）书记谈，并全部签订了承诺书；加大宣传力度，增强群众知晓率参与率。组织了集中宣传3次，发放宣传资料1000余份，张贴宣传画100余张，设置举报箱20余个，悬挂横幅150余条，宣传专栏10余个，墙面喷绘宣传1500余平米，人行天桥喷绘宣传近200平米，桥面固定宣传一处，微信推送应知应会内容；对照督查标准，建立专项资料台账。</w:t>
      </w:r>
    </w:p>
    <w:p w14:paraId="7E2653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社会管理力度。积极开展重点区域及高校周边治安环境整治，坚持每季度对一个治安重点地区进行整治。定期召开学校周边环境突出问题及治安问题整治工作联席会建；积极开展平安创建及“鼎星”平安区争创工作，今年共印制了三万册平安建设宣传手册、禁毒、反邪教宣传折页，500余张“一感两度两率”宣传幅，制作了100余条平安建设宣传条幅，5次制作更换4座大型人行天桥8面宣传条幅；全面加强基层基础建设，基本完成了辖区主干道路、主要路口，重点部位及场所二类视频监控的布点与安装，对背街小巷、非主干道，中小学、幼儿园周边等完成了200个三类视频监控的布点工作，正在进行建设安装；加强安保力量建设，对重点区域重点部位进行了重点巡逻；积极开展社区戒毒（康复）工作，今年突出了对联系不上查找不到的在册吸毒人员查找工作，并坚持每月开展禁毒知识宣传等；扎实开展打击传销工作，加强宣传力度；加强严重精神障碍患者的管控，按照等级加强管理，严格落实以奖代补政策，今年共落实政策15名；积极开展反邪教工作，大力推进无邪社区创建和反邪教宣传活动等；加强网格化的建设与管理，依托网格化管理平台，加强社会服务与管理，加强了突出突发事件、重点人、重点事的管控与处置。</w:t>
      </w:r>
      <w:r>
        <w:rPr>
          <w:rFonts w:hint="eastAsia" w:ascii="仿宋_GB2312" w:hAnsi="仿宋_GB2312" w:eastAsia="仿宋_GB2312" w:cs="仿宋_GB2312"/>
          <w:sz w:val="32"/>
          <w:szCs w:val="32"/>
        </w:rPr>
        <w:cr/>
      </w:r>
    </w:p>
    <w:p w14:paraId="02D3DC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全民法治建设。严格落实法治建设主体责任，党工委、办事处坚持每季度研究法治建设工作；及时调整法治建设领导小组，建立法治建设长效机制。成立了以街领导班子、各科室负责人，青菱派出所、大市场派出所、青菱司法所，各社区、村（场）为成员的法治建设领导小组；认真研究制定了年度法治建设工作计划，坚持定期分析法治建设工作情况，坚持全面依法行政；严格落实法治学习制度，增强法治思维能力，提升各级干部依法行政水平；推进依法决策，严格落实重大问题集体决策，街、社区（村、场）均配备了法律顾问，支持法律监督，积极推进依法行政；深化法治宣传教育，大力开展法治创建活动。严格落实七五”普法教育规划。积极开展各类普法教育及创建活动，今年以来，共开展普法骨干培训1次，举办各类法制辅导、讲座3场。</w:t>
      </w:r>
    </w:p>
    <w:p w14:paraId="5F6740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矛盾纠纷化解力度。按照“谁主管、谁负责”、党工委成员“挂点负责”及“属地管理”原则，坚持党政领导挂帅，综治办协调、各负其责，依托基层干部参与以及定期排查通报，职能部门归口调处，领导包案调处，加强督查督办的工作机制，落实矛盾纠纷源头排查调处机制，坚持每月进行矛盾纠纷排查，对排查的矛盾纠纷及时进行化解调处。在今年全国</w:t>
      </w:r>
      <w:bookmarkStart w:id="0" w:name="_GoBack"/>
      <w:bookmarkEnd w:id="0"/>
      <w:r>
        <w:rPr>
          <w:rFonts w:hint="eastAsia" w:ascii="仿宋_GB2312" w:hAnsi="仿宋_GB2312" w:eastAsia="仿宋_GB2312" w:cs="仿宋_GB2312"/>
          <w:sz w:val="32"/>
          <w:szCs w:val="32"/>
        </w:rPr>
        <w:t>两会及习</w:t>
      </w:r>
      <w:r>
        <w:rPr>
          <w:rFonts w:hint="eastAsia" w:ascii="仿宋_GB2312" w:hAnsi="仿宋_GB2312" w:eastAsia="仿宋_GB2312" w:cs="仿宋_GB2312"/>
          <w:sz w:val="32"/>
          <w:szCs w:val="32"/>
          <w:lang w:val="en-US" w:eastAsia="zh-CN"/>
        </w:rPr>
        <w:t>近平</w:t>
      </w:r>
      <w:r>
        <w:rPr>
          <w:rFonts w:hint="eastAsia" w:ascii="仿宋_GB2312" w:hAnsi="仿宋_GB2312" w:eastAsia="仿宋_GB2312" w:cs="仿宋_GB2312"/>
          <w:sz w:val="32"/>
          <w:szCs w:val="32"/>
        </w:rPr>
        <w:t>主席视察武汉期间，党政主要领导及班子成员，深入社区、村（场），到居民家中、学校、建筑工地及企业掌握情况，深入排查矛盾隐患，发现问题及时化解，并成功化解了福星惠誉东澜岸小区业主因停车收费堵路等问题。坚持每月形势分析，街、社区（村）层层建立矛盾纠纷分析研判机制，对可能演化为群体性事件和重大治安问题的矛盾，逐一落实责任单位和责任人，采取有效措施加以化解。对可能引发的群体性事件，我们早发现、早排查、早预防、早着力，对群众的合法要求和实际问题认真研究，给予解决，对已发生的群体事件，党政主要领导和分管领导亲临现场，面对面做好疏导工作，控制局面，防止矛盾升级。</w:t>
      </w:r>
    </w:p>
    <w:p w14:paraId="705703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狠抓信访维稳，保证社会安全稳定。由于我街18个社区、村（场）全部进行了或正在进行征地拆迁，范围大、人员广、房屋多、农民失地、居民失业、企业停产，各种利益诉求交织叠加，矛盾凸显异常激烈尖锐，出现了大量群体矛盾，为此，我街始终坚持把做好信访维稳工作、化解矛盾纠纷。严格落实领导干部阅信接访制度，截至目前，领导干部共接访90余批次，党政主要领导接访50余批次；实行领导包案制度。对一些比较突出的矛盾纠纷及有过极行为预发对象，辖区所有信访积案及重点人员全部落实领导包案制；我街非常重视加强对进京赴省到市上访人员的稳控化解工作，特别是重视加强对进京赴省非正常上访人员的稳控化解工作。今年以来扎实做好了园艺群体2次进京、孙玲3次进京、横堤群体1次进京，黄国枝3次进京，建群董伦英、陈大清、陈有鑫1次进京，残疾人陈太福开车进京，建群花园建阳老年人群体2次赴省及陈太福赴东湖宾馆的劝返教育稳控工作；严密组织每月一次的市区领导大接访活动。今年以来区领导共接访了12批20人；积极推行阳光信访责任信访法治信访，狠抓“五率”；耐心接待群众来访，依法依规处理信访事件。今年以来，多次化解缓和了杨泗村民群体、火箭村民群体、园艺群体、石咀村民群体、建群建阳花园老年人群体、渔业独生子女父母群体、建群花园分房群体等因待遇、房屋还建及还建房落实分配问题矛盾纠纷。共接待群众来访约400余批，1500余人次；今年来多次邀请相关职能部门、法庭及律师召开信访积案研判会，形成化解意见。今年共化解1件，彻底息诉罢访，3件汇报化解；扎实做好关键节点重点时段的安全稳定工作。全国</w:t>
      </w:r>
      <w:r>
        <w:rPr>
          <w:rFonts w:hint="eastAsia" w:ascii="仿宋_GB2312" w:hAnsi="仿宋_GB2312" w:eastAsia="仿宋_GB2312" w:cs="仿宋_GB2312"/>
          <w:sz w:val="32"/>
          <w:szCs w:val="32"/>
          <w:lang w:val="en-US" w:eastAsia="zh-CN"/>
        </w:rPr>
        <w:t>两会</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两会等重要节点敏感时期，都要进行全方位的矛盾纠纷及安全隐患大排查，并成立信访维稳专班，加强对重点信访人员掌控。</w:t>
      </w:r>
    </w:p>
    <w:p w14:paraId="2941DA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（六）认真办理各项社会事务，保障民生服务，建设和谐幸福青菱</w:t>
      </w:r>
    </w:p>
    <w:p w14:paraId="7ED2DA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困难群众民生保障工作成效明显。认真贯彻落实低保政策，全力做好我街最低生活保障工作，根据上级出台的有关大病医疗救助政策，改进救助方式，采取事后救助与事前、事中救助相结合，大病住院救助与慢性门诊救助相结合的救助方式，重点救助低保户和贫困户，使我街困难群众就医难问题得到了保障。根据武汉市城乡低保相关政策，我街对低保对象采取动态管理，努力打造阳光低保、诚信低保、满意低保。截止至2018年10月20日，我街现有城市低保户98户，106人，2018年1月至10月累计发放低保相关资金562202.48元；发放临时救助资金19300元，共救助了41人次；同时对流浪乞讨人员进行了救助；辖区殡葬火化率实现100%，各项民政资金发放兑现率实现100%；发放春节慰问金5.46万元，帮助困难家庭及困难优抚对象182户；在国庆中秋期间联合白沙洲大市场慰问困难家庭90户；根据省、市、区纪委关于运用“扶贫领域政策落实监察系统”开展监督检查,对涉及我街的16户18条线索对象逐一进行核查。制定了专门的工作方案，监督检查工作领导小组；开展全方位、多层次、立体式的宣传活动，广泛发动群众参与，通过设立举报电话，接受群众举报投诉和监督；积极主动逐一上门入户进行核查，对问题对象逐一进行甄别核实；对无法核查的线索，积极主动寻求相关职能部门协助。如涉及咸宁市嘉鱼县公职人员的线索，主动与嘉鱼县当地政府取得联系协助了解情况等，经过认真核查，完成了全部16户18条线索的上门入户，经核查全部查否或不作为查实认定，且均无我街相关工作人员违纪违规现象；2018年我街辖区内志愿者注册人数已达18416人，完成全街人口注册比例达到了18.98%；目前我街共有优抚对象35名，积极开展了争创“拥军优属、拥政爱民”活动，认真落实了各项双拥政策；维护残疾人权益，做好残疾人社会保障工作；</w:t>
      </w:r>
    </w:p>
    <w:p w14:paraId="37E404F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务服务工作不断规范化。中心显著位置摆放《政务服务办事指南》等，明确了群众办事所需材料及规定依据；将政务服务事项集中化，按照应进必进、能进必进要求，将面向群众办理的政务服务纳入中心集中办理，避免群众多头跑、反复跑；窗口服务水平不断优化，强化服务意识，创新服务方式；政务服务网络化，积极做好“一张网”建设及省职权系统延伸推广应用的衔接任务。</w:t>
      </w:r>
    </w:p>
    <w:p w14:paraId="03FC2D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区建设工作积极推进。做好撤村建居小区居民回迁工作，自我街2016年8月对11村1场进行“统征储备撤村建居”，至今已建成交付菱湖美景小区、青江苑小区，且菱湖美景小区居民已全部入住、并成立业主委员会，社区办公用房1700余平米已装修交付使用。青江苑小区现已完成分房手续，居民将陆续回迁，并对社区办公用房1300余平米做出设计，待财政批复后启动装修，年底完成新社区居委会组建工作。现正加快“过渡”居民回迁，届时我街已完成近三分之二的“村改居”相关事宜，；组织开展撤村建居小区---菱湖美景小区业委会选举工作。</w:t>
      </w:r>
    </w:p>
    <w:p w14:paraId="213F3C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老年服务事业蓬勃开展。建立青江苑老年宜居社区；现我街共有社区老年人服务中心6家，均正常运营开放，各项志愿活动有序开展；做好老年人优待证代办、代领、代发工作，截止三季度共发放80岁-89岁高龄津贴394200元， 80岁-89岁老人合计3942人次；截止三季度共发放90岁-99岁高龄津贴96700元，截止三季度90岁-99岁老人480人次；今年我街社会组织参与洪山区公益创投项目比赛，均获得区级公益创投项目经费支持，促进了老年人融入到社区生活的大家庭。</w:t>
      </w:r>
    </w:p>
    <w:p w14:paraId="39A33E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劳动保障工作不断提升。紧紧围绕区人力资源局下达的目标任务，不断加大促进就业工作力度，截止10月16日我街新增就业748人，失业人员再就业安置76人，帮助困难群体再就业42人，扶持创业成功53人（其中大学生创业23），创业带动就业213人，城镇登记失业率为2.04%，截止10月16日共办理就业创业证413本，办理灵活就业人员社保补贴259人次，共计302899.2元；多渠道搭建就业平台；夯实基层就业服务；加强监察力度，规范用工行为；大力促进就业再就业，完善用工信息体系建设，加强就业平台建设，加强失业人员特别是就业困难人员的信息台账建设；加大政策宣传力度，共发放就业再就业等宣传资料3200余份，同时利用社区服务站电子显示平台滚动播报就业信息，贯彻落实就业再就业政策。</w:t>
      </w:r>
    </w:p>
    <w:p w14:paraId="722EC4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工作成效明显。依法取缔14家非法养殖场，积极开展春秋两季爱卫月活动，组织18个社区（村）开展了八次环境整治的清洁大扫除活动，共出动1150余人次，清扫垃圾350余吨，发放除害物品4000余份，宣传画及折页1000余份，清理卫生死角500余处；通过药物喷洒。有效预防和控制了“四害”的滋生。认真执行公共场所禁烟规定，7月份制定了控烟方案、成立领导小组名单、控烟制度、控烟奖惩制度、设定控烟监督员和控烟巡查小组以及控烟宣传工作；我街今年组织了三次献血活动，完成了今年的目标任务；血防工作有效开展。</w:t>
      </w:r>
    </w:p>
    <w:p w14:paraId="3029E4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计生工作稳步开展。围绕目标，促进经济社会人口和谐发展，2017年10月1日至2018年9月30日，全街出生534人；不断提高业务知识，通过组织人员参加区集中培训、计生知识考试等不断提高计生专干的业务能力；以人为本，做好计划生育基本技术服务，我街现有育龄妇女6929人，今年对全街已婚育龄妇女6923人进行免费生殖健康检查，服务到位率为86%；注重政策引导，深化流动人口管理服务均等化，并通过活动发放宣传图片、文字资料,使辖区内流动人口增强健康意识，养成良好的行为生活方式；深化“亲情关爱行动”，情暖计生特殊家庭，严格按照省市各项文件要求，积极落实各项奖励政策，全年申报计生城镇年老夫妇一次性奖励97人，合计金额339500元，申报独生子女保健费1185户，合计金额138365元.完成6户特殊家庭的新增登记、审核、上报及一次性抚慰金的发放工作。</w:t>
      </w:r>
    </w:p>
    <w:p w14:paraId="70A72D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文体工作活跃开展。丰富居民文化生活，积极参与区级文体活动，为社区各年龄段的居民们组织开展形式多样、丰富多彩的培训活动；突出辖区特色，打造品牌亮点，根据实际情况，发扬青菱特色，每月均举办一场品牌活动。</w:t>
      </w:r>
    </w:p>
    <w:p w14:paraId="2AAE28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（七）切实维护青菱街容街貌，规范城市管理，打造文明亮丽街道</w:t>
      </w:r>
    </w:p>
    <w:p w14:paraId="244AE0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继续深入开展城管革命。严格控制和查处违法建设，青菱街全年必达目标32000㎡，拆除面积约25837平方米，完成青菱街全年拆违任务的80%；加强违法占道整治，青菱城管中队累计行动54次，出动执法人员1090人次，车辆120台次，对黄家湖大学城周边流动摊贩进行整治。共计清理乱摆摊点540起、出店经营226户、乱堆乱放1080起；对全街主次干道、背街小巷沿线管线加强巡查，投入资金约20余万元集中整治了青菱河路、丽水路、南郊路、红霞名苑路、黄家湖路等沿线架空管线约4.2公里，解决无序铺设和乱拉乱搭等现象。投入12余万元对辖区内井盖进行更换，总共更换井盖约150个；城管中队累计出动巡查人员1790余人次，车辆175余台次，规范广告招牌，对白沙洲大道、三环沿线墙体、楼顶广告进行摸底调查，对违规广告招牌进行整治。共拆除道旗广告428块，违规吊耳13处，拆除广告立柱17个，拆除三环线下桥处指示牌2个，取缔违规小广告130余处，拆除华中城楼顶广告牌3处，拆除银湖工业园城楼顶广告牌2处，楼面大型宣传画1处，拆除三环线沿线楼顶广告牌3处，拆除白沙洲大道沿线楼顶广告牌9块；餐饮油烟整治，组织专项整治行动6余次，出动执法人员120余人次，出动执法车辆18台次，共整治了55家摊点，非法经营户20家；燃气管理，出动人员60余人次，对小餐饮店铺的用气安全进行排查、对燃气经营点的安全生产进行检查；共享单车专项整治，城管中队累计出动人员2000余人次，车辆300余台次，收缴青桔单车6辆，规范单车3400余辆。10月15日至10月21日青菱二中队出动执法人员30人次、执法车辆车辆6台次，出动民工24人次，厢式货车5台，共清理共享单车16台次，合计896辆。</w:t>
      </w:r>
    </w:p>
    <w:p w14:paraId="3BED1C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完善军运会沿线工作。根据区委、区政府统一要求和军运会执委会具体工作安排，我街以辖区军运会保障线路为重点，开展城市管理提升综合整治工作。成立了青菱街迎军运会城市环境综合整治提升工作指挥部，制定了责任清单和《青菱街迎军运会城市环境综合整治提升工作方案》，每周向区军运会专班报送《青菱街军运会城市管理提升工作周报》和《洪山区军运会重点保障线路沿线拆除建筑统计表》，督促相关社区（村）加快重点保障线路拆迁工作进度；我街每月出动巡查人员200余人次，车辆20余台次，共拆除军运会沿线道旗广告428块、保障线路广告立柱17个、三环线下桥处指示牌2个，拆除华中城楼顶广告牌3处、银湖工业园城楼顶广告牌2处、楼面大型宣传画1处、三环线沿线楼顶广告牌3处、白沙洲大道沿线楼顶广告牌9处。</w:t>
      </w:r>
    </w:p>
    <w:p w14:paraId="4EA5F7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断加强环境保护力度。加强大气污染防治工作，打好弃土管理持久战，为加强渣土管控，街道投入108万元，先后在丽水路、青菱湖北路设置了执法卡点，设置限高架，24小时对违规运输渣土车、砂石料运输车严查严处；加强道路车辆运输扬尘、辖区内建筑工地的扬尘管理和拆迁区域的扬尘巡查治理；加强市容环境卫生管理，清除建筑垃圾、生活垃圾，修复破损村湾道路；对107国道沿线、白沙洲大市场、福星惠誉东澜岸等区域开展环境卫生整治，整治暴露生活垃圾和建筑垃圾85余处。</w:t>
      </w:r>
    </w:p>
    <w:p w14:paraId="543BAD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桥梁监管责任、强化湖泊（河流）保护职责。坚持桥梁日常巡查制度，做好巡查台账。根据《武汉市桥梁隧道安全管理条例》之规定、市城管委《关于加强桥梁设施安全巡查执法管理工作的通知》和市城管委市政处工作督办单的要求，对所管辖的中、小型桥梁进行全面排查，并更新了桥梁责任牌。确保辖区桥梁养护到位，安全无事故；街级河湖长累计巡查河湖108次，开展湖泊拆围专项行动，累计拆除三网设施30余处。开展河湖岸线集中清理整治，关停砂石堆场1处，取缔养猪场3处、养鸭场1处、鱼鳞加工作坊1处，并拆除现场硬化地坪约500平方米，取缔西湾、西马2家非法码头；对青菱湖边2处渣土堆实施整治，目前建群村原康晶食品厂渣土堆现状已退出水域蓝线40米外，建群村原强力工业园渣土堆现状已退出水域蓝线20米外；清除黄家湖、青菱河、丽水明渠、十里长渠等沿岸菜地11处，清理面积约87600余平方米。拆除违法建筑青菱湖1处、青菱河2处，十里长渠2处，累计拆除建筑面积约3000平方米；开展固体废物排查专项行动。累计组织215人次，56车次，清理长江沿岸、青菱湖、青菱河、十里长渠等沿岸生活垃圾、建筑垃圾、废旧轮胎约400余吨。开展水域行洪清淤专项行动。累计对青菱河、十里长渠、陈家山闸、丽水明渠等河流港渠清理障碍6次；开展集中式饮用水水源地保护区整改专项行动，对白沙洲水厂水源地二级保护区进行环境综合整治专项，拆除菜地工具棚380余平方米。对武金堤外水源二级保护地建阳村辖区内的土地复耕及乱搭乱盖情况进行整治，拆除钢构菜棚14个，约5600平方米；钢构住棚（住户）2个，约120平方米；茅坑房4个约12平方米。</w:t>
      </w:r>
    </w:p>
    <w:p w14:paraId="5A4AD4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（八）有序开展工青妇工作，关心各类群体发展，全力满足群众需求</w:t>
      </w:r>
    </w:p>
    <w:p w14:paraId="6B1229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维护职工权益，顺利开展工会工作。做好困难职工帮扶工作，按照今年标准在节日期间开展送温活动，走访慰问了困难职工10人，计划生育特殊家庭5人，通过工会会员卡发放资金7500元；严格按照省总文件，落实职工福利；做好全街工会的台账整理工作，同时配合区总的安排，做好全街工会基层组织检查调研工作，对辖区281家企业进行全面摸底调查；积极开展各项文体竞赛活动和夏日送清凉活动，为环卫工、户外作业交警共计367人送去了清凉慰问品，近4万余元；对街工会共有50家企业开展了民主管理自查工作；完成工会会员服务卡的登记表收集和信息入录和资料存档工作；做好市级、区级和谐企业申报工作；今年新增25人以上单位建立工会组织2家，新增工会会员212人；做好职工互助医疗报销工作，截至目前报销共计36次，赔付金额约三万元。做好四大重疾申报工作，截至目前已申报2名职工，赔付金额1万元。</w:t>
      </w:r>
    </w:p>
    <w:p w14:paraId="5584D0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妇联工作。按照市区要求积极开展示范“妇女之家”“妇女微家”“家事调解室”建设，2018年成功创建1个妇女之家（菱湖美景社区）、1个特色妇女之家（武汉森泰环保有限公司）、6个试点妇女微家；逐步实现“上面千条线、下面一张网、身边一个家”的基层妇联组织建设新格局；我街妇联从维护社会稳定，倡导和谐理念，培育和谐精神、营造和谐氛围入手，配合上级部门开展宣传教育工作；青菱街今年以来，成立15支巾帼志愿服务队授予“洪山区巾帼志愿服务队”旗帜；关注妇女弱势群体，抓好妇女维权和贫困妇儿的关爱工作，我街社区、村每月上报接访登记表和绩效完成情况表，信访处理办结率达到98%以上；街妇联联合其他部门对辖区内的困难儿童、单亲妈妈以及计生特殊家庭开展走访慰问活动，送去慰问物资和慰问金共计5万余元。</w:t>
      </w:r>
    </w:p>
    <w:p w14:paraId="170BDE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做好青菱街扶贫工作。积极开展精准扶贫，制定并实施《青菱街2018年“扶贫日”活动方案》，开展“结对帮扶行动月”、“三乡工程”促脱贫等系列活动，街道领导到对口帮扶单位辛冲街铁河村看望慰问，送去慰问金、慰问物资，了解询问困难群众需求，给困难家庭和群众带来关怀和帮助；做好扶贫宣传工作，积极组织辖区企业等各类群体对贫困人口、贫困家庭进行帮扶，协调社会力量参与</w:t>
      </w:r>
      <w:r>
        <w:rPr>
          <w:rFonts w:hint="eastAsia" w:ascii="仿宋_GB2312" w:hAnsi="仿宋_GB2312" w:eastAsia="仿宋_GB2312" w:cs="仿宋_GB2312"/>
          <w:sz w:val="32"/>
          <w:szCs w:val="32"/>
          <w:lang w:val="en-US" w:eastAsia="zh-CN"/>
        </w:rPr>
        <w:t>脱</w:t>
      </w:r>
      <w:r>
        <w:rPr>
          <w:rFonts w:hint="eastAsia" w:ascii="仿宋_GB2312" w:hAnsi="仿宋_GB2312" w:eastAsia="仿宋_GB2312" w:cs="仿宋_GB2312"/>
          <w:sz w:val="32"/>
          <w:szCs w:val="32"/>
        </w:rPr>
        <w:t>贫攻坚工作。</w:t>
      </w:r>
    </w:p>
    <w:p w14:paraId="0C6D8C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（九）统筹全街工作，提供优质服务，确保机关正常高效运转</w:t>
      </w:r>
    </w:p>
    <w:p w14:paraId="5E417C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传下达，做好政务督办工作。对接考评办做好街道的月度、年度绩效、督办自查分析等考评工作，制定《青菱街2018年度绩效管理综合考评办法》、《2018年度青菱街社区（村）、场工作完成情况综合评价办法》、《2018年度社区（村）、场特色工作（征求意见稿）》；对接省委第九巡视组做好机关部门作风巡查工作，成立工作领导小组，明确巡查内容，落实巡查实施，严格工作要求，安排个别谈话，做好自查自纠，针对存在的问题严肃处理；对接区政府督察室做好人大政协议提案的办理工作，积极调动机关各部门科室、街辖区基层单位对议提案进行办理；对接区政府督察室做好政府工作报告，对政府工作报告责任分解方案中我街对应的项目及时进行进度汇总、上报；按照2018年《政府工作报告》的要求，按时公开党务政务信息，确保信息公开及时、透明。</w:t>
      </w:r>
    </w:p>
    <w:p w14:paraId="2AAF59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善机制，提升综合协调职能。做好综合协调工作，加强预警，做好防汛、气象灾害应急响应、网络安全等安全防范工作。建立《青菱街2018年度防汛排渍工作预案》，防汛期间严格执行排班制度，落实后勤保障，对防汛救灾人员进行慰问关怀；高温期间，对机关各部门、辖区基层单位特别是施工单位、特殊岗位进行宣传预警，慰问送清凉，报送《青菱街关于气象灾害（高温）三级应急响应工作情况总结》；草拟《青菱街网络安全工作实施方案》、《青菱街网络安全管理制度》、《网络安全事件应急预案》做好网络安全自查工作；对应急事件快速处置，并及时向区总值班室上报应急信息。</w:t>
      </w:r>
    </w:p>
    <w:p w14:paraId="028AD6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管理，落实机关行政工作。做好会务保障工作，组织各类会议百余次，规范会议室预订流程，做好会前通知、会前准备、会议记录拍照等工作，保证会议质量；加强档案管理，按照2018年《政府工作报告》的要求，完善档案管理各项规章制度，机关档案管理达到更高标准；加强财务管理工作，编制财务预算及决算，规范财务报销程序，严把财务关；加强固定资产管理，编制资产配置计划，做好办公设备网上采购及实物资产登记、保管、转移、报废等工作。</w:t>
      </w:r>
    </w:p>
    <w:p w14:paraId="1D1E51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（十）扎实开展武装工作，发挥好人大工委作用，为青菱地区发展保驾护航</w:t>
      </w:r>
    </w:p>
    <w:p w14:paraId="4B02FAB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落实党管武装制度。一年来，街道始终坚持党管武装原则，把加强党对国防后备力量建设的领导,作为一项严肃的政治任务来抓，站在政治和战略的高度，充分认清党管武装的重要性。对全街民兵工作进行统一领导，认真解决民兵建设上的重大问题，推动民兵工作的顺利开展。今年共召开11次会议对民兵组织整顿工作、征兵工作以及应急分队的整体战备建设，进行协调部署，在人力、物力、经费上给予大力支持，街党工委书记何线同志和街党工委副书记胡世喜同志多次对武装部工作进行专题指导，经常带领专武干部一道，认真研究部署民兵组织整顿工作、基层民兵营连建设工作和年度征兵工作，及时解决具体工作中存在的问题。各社区（村）民兵组织在民兵连长统一领导下，积极开展各项工作，圆满地完成了年度各项军事任务。</w:t>
      </w:r>
    </w:p>
    <w:p w14:paraId="70DA2A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民兵队伍建设工作。按照市基干民兵规划总体要求，规范整组程序，进一步调整民兵组织布局，优化民兵队伍结构，着重抓好民兵干部队伍和民兵应急分队建设，健全完善民兵预备役工作各项制度。通过整组，街道截止4月底编有普通民兵3155人，基干民兵158人（其中区属应急连20人、应急排30人、应急班50人、机场伪装分队58人）。结合分队的任务和特点，对任务明确的重点分队，按照民兵“三个现地”的要求，组织点验，完成了今年的民兵整组工作。同时，我街按区人武部的通知要求，参加了区属民兵应急连的20人集训和武汉警备区点验，先后组织两次参加全军战备拉动演练（石咀村共出动民兵应急分队20人次），协助配合部队由洪山向江夏行军开进行动，今年选派10名应急分队成员参加区人武部组织的湖北陆军预备役高炮师花山训练基地集训，均受到区人武部的好评与肯定。</w:t>
      </w:r>
    </w:p>
    <w:p w14:paraId="2741F0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做好兵役登记和征兵工作。按照《兵役法》等法规对符合兵役登记的适龄青年和退役士兵进行了预备役登记，对各社区的登记的情况进行了检查。目前掌握了登记人员的数量、质量和分布情况。征兵期间，我街征兵工作在街主要领导的大力支持下，我部积极在街道范围内的社区（村）、场认真组织发动，一是加大宣传力度通过充分利用广播、标语口号、宣传单等多种形式，开展征兵宣传活动，发放宣传手册600余份、悬挂横幅28条，街道和社区（村）还利用电子显示屏滚动播放征兵宣传政策。二是把好身体初检关，对家庭有病史及违法违纪行为进行详细了解，确保兵源的质量。三是严格把好政治考核关，做到不打招呼，不走后门保证新兵的政治条件合格。四是做到了廉洁征兵，整个征兵期间，对政治考核对象做到不吃请，杜绝红包现象。由于有街领导的全力支持、社区（村）的全力配合，今年的征兵报名进站预征青年共13名，达到双合格的预征对象4名，为部队输送入伍新兵3名（其中含1名女兵）。</w:t>
      </w:r>
    </w:p>
    <w:p w14:paraId="21F3E3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面做好防汛排涝工作。根据区防汛排渍会议精神精心安排，全面部署2018年度青菱街防汛排渍工作会议。今年，我街防汛指挥部以落实防汛责任制为工作重点，进一步健全了防汛责任机制，确保责任落实到位，工作执行到位。在2018年5月4日召开的防汛排渍工作会议上，街领导针对青菱街防汛排渍的工作情况进一步完善防汛排渍预案并针对2017年防汛排渍工作存在的问题进行了反思和总结，汛前还添置防汛铁锹200把（统一进行编号登记），用于防汛抗旱工作。</w:t>
      </w:r>
    </w:p>
    <w:p w14:paraId="1F2BB1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大民防工作力度。根据上级文件精神认真筹划、制定各项工作计划。结合“5.12”宣传活动周、《安全生产月》活动、“10.25”警报试鸣日活动，全力推进街道防震减灾和应急管理工作，努力提高辖区居民的风险防范意识和灾害应对能力，最大限度地预防和减少各种安全事故的发生。今年我部每月不少于1次组织对分配的人防工程、湖泊和挂点单位进行安全生产综合检查。针对其出现的突出问题及时上报给相关单位，并积极配合上级相关单位开展安全生产检查和督导工作，确保了辖区人防工程的安全。</w:t>
      </w:r>
    </w:p>
    <w:p w14:paraId="04F6FB69">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五、绩效自评的开展</w:t>
      </w:r>
    </w:p>
    <w:p w14:paraId="1B6977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开展2018年绩效自评，是为了了解2018度财政资金预算支出的绩效状况，为今后预算安排提供决策支持。进一步增强本部门支出管理的责任，优化支出结构，提升预算管理水平，保障更好地履行职责，提高公共服务质量和财政资金使用效益，提升群众对办事处工作的满意度。</w:t>
      </w:r>
    </w:p>
    <w:p w14:paraId="333725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是一项综合性工作，涉及财务管理、经济学、社会学、工程造价等多各专业领域，故仅仅依靠财务领域的人才在没有与其他相关领域的专家进行沟通的情况下，对部门整体支出进行独立评价具有一定的局限性。</w:t>
      </w:r>
    </w:p>
    <w:p w14:paraId="393095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绩效评价过程中， 我们针对社会公众或服务对象满意度进行了问卷调查。问卷发放的对象为：社会群众、内部员工，并以这些对象的加权得分作为衡量公众满意度的标准。社会群众、内部员工分别各发放问卷20份、10份，最终得分=社会群众得分×60%+内部员工得分×40%。</w:t>
      </w:r>
    </w:p>
    <w:p w14:paraId="4DDDAD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青菱街道办社会公众或服务对象满意度调查最终得分90.00分，社会公众和内部员工对太和街道办开展的工作较满意。</w:t>
      </w:r>
    </w:p>
    <w:p w14:paraId="60ACB798">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六、存在的主要问题</w:t>
      </w:r>
    </w:p>
    <w:p w14:paraId="28519D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以来，青菱经济社会发展势头良好，取得了一定的成绩，但还存在一些困难和不足之处，特别是与区委、区政府的要求还有一定差距，主要是：一是经济下行大环境下，招商引资难度大，谈的多，落地项目少；二是随着征地拆迁进入尾声，不可预知因素增多，社会矛盾仍然比较突出，矛盾纠纷排查化解工作有待提高；三是全社会固定资产投资、社会商品零售额、工业生产总值等地区主要经济指标增长后劲不足；四是城市文明建设水平有待巩固和提高，园区环境治理还需进一步强化，特别是渣土的管控工作有待加强；五是园区产业结构有待进一步优化，入驻企业项目不优、产业不精的矛盾没有消除。</w:t>
      </w:r>
    </w:p>
    <w:p w14:paraId="038BBB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青菱街道办虽然制定了各项财务管理制度和固定资产管理制度，但在实际工作工程中，相关制度未得到完全有效执行，制度的效力体现不够明显。</w:t>
      </w:r>
    </w:p>
    <w:p w14:paraId="4655FEA6">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七、改进措施和有关建议</w:t>
      </w:r>
    </w:p>
    <w:p w14:paraId="53F60D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有效绩效监控机制，确保绩效目标完成。科学设置预算绩效指标，合理安排经费和各项资金，使其物尽其用，更加贴合街道财务工作的实际情况，能够合理运用现有资源，及时协调并向上级多争取资金，保证各预算绩效指标的顺利实施。</w:t>
      </w:r>
    </w:p>
    <w:p w14:paraId="1F9FE6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（二）签订的再目标责任要切合实际，要根据目标责任书内容分部门下达任务，尽量完成当年年度目标任务。</w:t>
      </w:r>
    </w:p>
    <w:p w14:paraId="4C689DD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（三）落实相关财务管理制度及固定资产管理制度，保证制度的效力。</w:t>
      </w:r>
    </w:p>
    <w:p w14:paraId="531A682D">
      <w:pPr>
        <w:ind w:firstLine="640" w:firstLineChars="200"/>
        <w:rPr>
          <w:rFonts w:hint="eastAsia" w:ascii="仿宋_GB2312" w:hAnsi="仿宋_GB2312" w:eastAsia="仿宋_GB2312" w:cs="仿宋_GB2312"/>
          <w:sz w:val="32"/>
          <w:szCs w:val="32"/>
        </w:rPr>
      </w:pPr>
    </w:p>
    <w:p w14:paraId="6540D428">
      <w:pPr>
        <w:ind w:firstLine="640" w:firstLineChars="200"/>
        <w:rPr>
          <w:rFonts w:hint="eastAsia" w:ascii="仿宋_GB2312" w:hAnsi="仿宋_GB2312" w:eastAsia="仿宋_GB2312" w:cs="仿宋_GB2312"/>
          <w:sz w:val="32"/>
          <w:szCs w:val="32"/>
        </w:rPr>
      </w:pPr>
    </w:p>
    <w:p w14:paraId="0B676D23">
      <w:pPr>
        <w:ind w:firstLine="640" w:firstLineChars="200"/>
        <w:rPr>
          <w:rFonts w:hint="eastAsia" w:ascii="仿宋_GB2312" w:hAnsi="仿宋_GB2312" w:eastAsia="仿宋_GB2312" w:cs="仿宋_GB2312"/>
          <w:sz w:val="32"/>
          <w:szCs w:val="32"/>
        </w:rPr>
      </w:pPr>
    </w:p>
    <w:p w14:paraId="2B4C6C1F">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武汉市洪山区人民政府青菱街办事处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mZmZmUwYTZmNDkxNzA4ZGNmNGUxODI3MWMyYWIifQ=="/>
  </w:docVars>
  <w:rsids>
    <w:rsidRoot w:val="006B6152"/>
    <w:rsid w:val="00064B40"/>
    <w:rsid w:val="00126F6F"/>
    <w:rsid w:val="00171C03"/>
    <w:rsid w:val="001B427D"/>
    <w:rsid w:val="001B4BAB"/>
    <w:rsid w:val="00226D5D"/>
    <w:rsid w:val="00252656"/>
    <w:rsid w:val="00280632"/>
    <w:rsid w:val="002A06BF"/>
    <w:rsid w:val="002D522E"/>
    <w:rsid w:val="002E72DC"/>
    <w:rsid w:val="0043152A"/>
    <w:rsid w:val="00561EA5"/>
    <w:rsid w:val="006B6152"/>
    <w:rsid w:val="00711DBF"/>
    <w:rsid w:val="007F5543"/>
    <w:rsid w:val="00A572A3"/>
    <w:rsid w:val="00B37703"/>
    <w:rsid w:val="00C7258B"/>
    <w:rsid w:val="00CC69FB"/>
    <w:rsid w:val="00D664E1"/>
    <w:rsid w:val="00EB03D7"/>
    <w:rsid w:val="04CE13F3"/>
    <w:rsid w:val="0AC97B3D"/>
    <w:rsid w:val="12B53620"/>
    <w:rsid w:val="243B31C9"/>
    <w:rsid w:val="28F43412"/>
    <w:rsid w:val="3CE81EF5"/>
    <w:rsid w:val="3E304D69"/>
    <w:rsid w:val="559B07B7"/>
    <w:rsid w:val="602728EE"/>
    <w:rsid w:val="6BC8789F"/>
    <w:rsid w:val="70595BF5"/>
    <w:rsid w:val="777A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43</Pages>
  <Words>19309</Words>
  <Characters>21280</Characters>
  <Lines>159</Lines>
  <Paragraphs>44</Paragraphs>
  <TotalTime>138</TotalTime>
  <ScaleCrop>false</ScaleCrop>
  <LinksUpToDate>false</LinksUpToDate>
  <CharactersWithSpaces>21339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2019-05-26T18:01:00Z</dcterms:created>
  <dc:creator>微软用户</dc:creator>
  <cp:lastModifiedBy>WPS_1711376490</cp:lastModifiedBy>
  <dcterms:modified xsi:type="dcterms:W3CDTF">2025-05-08T08:25:02Z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9D4F6F66C1884368A3875A70A5DF108F_13</vt:lpwstr>
  </property>
  <property fmtid="{D5CDD505-2E9C-101B-9397-08002B2CF9AE}" pid="4" name="KSOTemplateDocerSaveRecord">
    <vt:lpwstr>eyJoZGlkIjoiM2U3ZDA0YWRjZWY2MGE5NDg4NjkzOWM1MjRmNTU3YWMiLCJ1c2VySWQiOiIxNTg5MTM2MDIwIn0=</vt:lpwstr>
  </property>
</Properties>
</file>