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600" w:lineRule="atLeast"/>
        <w:ind w:right="24"/>
      </w:pPr>
      <w:r>
        <w:rPr>
          <w:rFonts w:hint="eastAsia"/>
        </w:rPr>
        <w:t> </w:t>
      </w:r>
    </w:p>
    <w:p>
      <w:pPr>
        <w:snapToGrid w:val="0"/>
        <w:spacing w:before="100" w:beforeAutospacing="1" w:after="100" w:afterAutospacing="1" w:line="560" w:lineRule="atLeast"/>
        <w:jc w:val="center"/>
        <w:rPr>
          <w:rFonts w:asciiTheme="majorEastAsia" w:hAnsiTheme="majorEastAsia" w:eastAsiaTheme="majorEastAsia"/>
          <w:color w:val="000000"/>
          <w:sz w:val="32"/>
          <w:szCs w:val="32"/>
        </w:rPr>
      </w:pPr>
    </w:p>
    <w:p>
      <w:pPr>
        <w:snapToGrid w:val="0"/>
        <w:spacing w:before="100" w:beforeAutospacing="1" w:after="100" w:afterAutospacing="1" w:line="560" w:lineRule="atLeas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2018年度 (武汉市洪山区发展和改革委员会)决算</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 </w:t>
      </w:r>
    </w:p>
    <w:p>
      <w:pPr>
        <w:snapToGrid w:val="0"/>
        <w:spacing w:before="100" w:beforeAutospacing="1" w:after="100" w:afterAutospacing="1"/>
        <w:jc w:val="center"/>
        <w:rPr>
          <w:rFonts w:asciiTheme="majorEastAsia" w:hAnsiTheme="majorEastAsia" w:eastAsiaTheme="majorEastAsia"/>
          <w:b/>
          <w:bCs/>
          <w:sz w:val="36"/>
          <w:szCs w:val="36"/>
        </w:rPr>
      </w:pPr>
    </w:p>
    <w:p>
      <w:pPr>
        <w:snapToGrid w:val="0"/>
        <w:spacing w:before="100" w:beforeAutospacing="1" w:after="100" w:afterAutospacing="1"/>
        <w:jc w:val="center"/>
        <w:rPr>
          <w:rFonts w:asciiTheme="majorEastAsia" w:hAnsiTheme="majorEastAsia" w:eastAsiaTheme="majorEastAsia"/>
          <w:b/>
          <w:bCs/>
          <w:sz w:val="36"/>
          <w:szCs w:val="36"/>
        </w:rPr>
      </w:pPr>
    </w:p>
    <w:p>
      <w:pPr>
        <w:snapToGrid w:val="0"/>
        <w:spacing w:before="100" w:beforeAutospacing="1" w:after="100" w:afterAutospacing="1"/>
        <w:jc w:val="center"/>
        <w:rPr>
          <w:rFonts w:asciiTheme="majorEastAsia" w:hAnsiTheme="majorEastAsia" w:eastAsiaTheme="majorEastAsia"/>
          <w:b/>
          <w:bCs/>
          <w:sz w:val="36"/>
          <w:szCs w:val="36"/>
        </w:rPr>
      </w:pPr>
    </w:p>
    <w:p>
      <w:pPr>
        <w:snapToGrid w:val="0"/>
        <w:spacing w:before="100" w:beforeAutospacing="1" w:after="100" w:afterAutospacing="1"/>
        <w:jc w:val="center"/>
        <w:rPr>
          <w:rFonts w:asciiTheme="majorEastAsia" w:hAnsiTheme="majorEastAsia" w:eastAsiaTheme="majorEastAsia"/>
          <w:b/>
          <w:bCs/>
          <w:sz w:val="36"/>
          <w:szCs w:val="36"/>
        </w:rPr>
      </w:pPr>
    </w:p>
    <w:p>
      <w:pPr>
        <w:snapToGrid w:val="0"/>
        <w:spacing w:before="100" w:beforeAutospacing="1" w:after="100" w:afterAutospacing="1"/>
        <w:jc w:val="center"/>
        <w:rPr>
          <w:rFonts w:asciiTheme="majorEastAsia" w:hAnsiTheme="majorEastAsia" w:eastAsiaTheme="majorEastAsia"/>
          <w:b/>
          <w:bCs/>
          <w:sz w:val="36"/>
          <w:szCs w:val="36"/>
        </w:rPr>
      </w:pPr>
    </w:p>
    <w:p>
      <w:pPr>
        <w:snapToGrid w:val="0"/>
        <w:spacing w:before="100" w:beforeAutospacing="1" w:after="100" w:afterAutospacing="1"/>
        <w:jc w:val="center"/>
        <w:rPr>
          <w:rFonts w:asciiTheme="majorEastAsia" w:hAnsiTheme="majorEastAsia" w:eastAsiaTheme="majorEastAsia"/>
          <w:sz w:val="36"/>
          <w:szCs w:val="36"/>
        </w:rPr>
      </w:pPr>
    </w:p>
    <w:p>
      <w:pPr>
        <w:snapToGrid w:val="0"/>
        <w:spacing w:before="100" w:beforeAutospacing="1" w:after="100" w:afterAutospacing="1" w:line="560" w:lineRule="atLeast"/>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2019年5月30日</w:t>
      </w:r>
    </w:p>
    <w:p>
      <w:pPr>
        <w:snapToGrid w:val="0"/>
        <w:spacing w:before="100" w:beforeAutospacing="1" w:after="100" w:afterAutospacing="1" w:line="360" w:lineRule="auto"/>
        <w:rPr>
          <w:rFonts w:asciiTheme="majorEastAsia" w:hAnsiTheme="majorEastAsia" w:eastAsiaTheme="majorEastAsia"/>
          <w:sz w:val="32"/>
          <w:szCs w:val="32"/>
        </w:rPr>
      </w:pPr>
      <w:r>
        <w:rPr>
          <w:rFonts w:hint="eastAsia" w:asciiTheme="majorEastAsia" w:hAnsiTheme="majorEastAsia" w:eastAsiaTheme="majorEastAsia"/>
          <w:sz w:val="32"/>
          <w:szCs w:val="32"/>
        </w:rPr>
        <w:t> </w:t>
      </w:r>
    </w:p>
    <w:p>
      <w:pPr>
        <w:snapToGrid w:val="0"/>
        <w:spacing w:before="100" w:beforeAutospacing="1" w:after="100" w:afterAutospacing="1"/>
        <w:rPr>
          <w:rFonts w:asciiTheme="majorEastAsia" w:hAnsiTheme="majorEastAsia" w:eastAsiaTheme="majorEastAsia"/>
          <w:sz w:val="32"/>
          <w:szCs w:val="32"/>
        </w:rPr>
      </w:pPr>
    </w:p>
    <w:p>
      <w:pPr>
        <w:snapToGrid w:val="0"/>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目    录</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第一部分  (武汉市洪山区发展和改革委员会)概况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一、部门主要职能</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二、部门决算单位构成</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三、部门人员构成</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第二部分 (武汉市洪山区发展和改革委员会)2018年度部门决算表</w:t>
      </w:r>
    </w:p>
    <w:p>
      <w:pPr>
        <w:snapToGrid w:val="0"/>
        <w:spacing w:before="100" w:beforeAutospacing="1" w:after="100" w:afterAutospacing="1" w:line="580" w:lineRule="atLeast"/>
        <w:ind w:right="-512"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一、收入支出决算总表(表1)</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二、收入决算表(表2)</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三、支出决算表(表3)</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四、财政拨款收入支出决算总表(表4)</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五、一般公共预算财政拨款支出决算表(表5)</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六、一般公共预算财政拨款基本支出决算表(表6)</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七、一般公共预算财政拨款“三公”经费支出决算表(表7)</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八、政府性基金预算财政拨款收入支出决算表(表8)</w:t>
      </w:r>
    </w:p>
    <w:p>
      <w:pPr>
        <w:snapToGrid w:val="0"/>
        <w:spacing w:before="100" w:beforeAutospacing="1" w:after="100" w:afterAutospacing="1"/>
        <w:ind w:left="3200" w:hanging="3200" w:hangingChars="1000"/>
        <w:rPr>
          <w:rFonts w:asciiTheme="majorEastAsia" w:hAnsiTheme="majorEastAsia" w:eastAsiaTheme="majorEastAsia"/>
          <w:sz w:val="32"/>
          <w:szCs w:val="32"/>
        </w:rPr>
      </w:pPr>
      <w:r>
        <w:rPr>
          <w:rFonts w:hint="eastAsia" w:asciiTheme="majorEastAsia" w:hAnsiTheme="majorEastAsia" w:eastAsiaTheme="majorEastAsia"/>
          <w:sz w:val="32"/>
          <w:szCs w:val="32"/>
        </w:rPr>
        <w:t>   第三部分 (武汉市洪山区发展和改革委员会)2018</w:t>
      </w:r>
    </w:p>
    <w:p>
      <w:pPr>
        <w:snapToGrid w:val="0"/>
        <w:spacing w:before="100" w:beforeAutospacing="1" w:after="100" w:afterAutospacing="1"/>
        <w:ind w:left="3202" w:leftChars="1201" w:hanging="320" w:hangingChars="100"/>
        <w:rPr>
          <w:rFonts w:asciiTheme="majorEastAsia" w:hAnsiTheme="majorEastAsia" w:eastAsiaTheme="majorEastAsia"/>
          <w:sz w:val="32"/>
          <w:szCs w:val="32"/>
        </w:rPr>
      </w:pPr>
      <w:r>
        <w:rPr>
          <w:rFonts w:hint="eastAsia" w:asciiTheme="majorEastAsia" w:hAnsiTheme="majorEastAsia" w:eastAsiaTheme="majorEastAsia"/>
          <w:sz w:val="32"/>
          <w:szCs w:val="32"/>
        </w:rPr>
        <w:t>年度部门决算情况说明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一、收入支出决算总体情况说明 </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二、收入决算情况说明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三、支出决算情况说明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四、财政拨款收入支出决算总体情况说明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五、一般公共预算财政拨款支出决算情况说明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六、一般公共预算财政拨款基本支出决算情况说明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七、一般公共预算财政拨款“三公”经费支出决算情况说明 </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八、政府性基金预算财政拨款收入支出决算情况说明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九、关于2018年度预算绩效情况说明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十、其他重要事项的情况说明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第四部分  2018年重点工作完成情况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第五部分  名词解释</w:t>
      </w:r>
    </w:p>
    <w:p>
      <w:pPr>
        <w:snapToGrid w:val="0"/>
        <w:spacing w:before="100" w:beforeAutospacing="1" w:after="100" w:afterAutospacing="1" w:line="600" w:lineRule="atLeast"/>
        <w:ind w:right="24"/>
        <w:rPr>
          <w:rFonts w:asciiTheme="majorEastAsia" w:hAnsiTheme="majorEastAsia" w:eastAsiaTheme="majorEastAsia"/>
          <w:sz w:val="32"/>
          <w:szCs w:val="32"/>
        </w:rPr>
      </w:pPr>
      <w:r>
        <w:rPr>
          <w:rFonts w:hint="eastAsia" w:asciiTheme="majorEastAsia" w:hAnsiTheme="majorEastAsia" w:eastAsiaTheme="majorEastAsia"/>
          <w:sz w:val="32"/>
          <w:szCs w:val="32"/>
        </w:rPr>
        <w:t> </w:t>
      </w: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 </w:t>
      </w:r>
    </w:p>
    <w:p>
      <w:pPr>
        <w:snapToGrid w:val="0"/>
        <w:spacing w:before="100" w:beforeAutospacing="1" w:after="100" w:afterAutospacing="1"/>
        <w:rPr>
          <w:rFonts w:ascii="黑体" w:hAnsi="黑体" w:eastAsia="黑体"/>
          <w:bCs/>
          <w:sz w:val="32"/>
          <w:szCs w:val="32"/>
        </w:rPr>
      </w:pPr>
      <w:r>
        <w:rPr>
          <w:rFonts w:hint="eastAsia" w:asciiTheme="majorEastAsia" w:hAnsiTheme="majorEastAsia" w:eastAsiaTheme="majorEastAsia"/>
          <w:b/>
          <w:bCs/>
          <w:sz w:val="32"/>
          <w:szCs w:val="32"/>
        </w:rPr>
        <w:t xml:space="preserve">    </w:t>
      </w:r>
      <w:r>
        <w:rPr>
          <w:rFonts w:hint="eastAsia" w:asciiTheme="majorEastAsia" w:hAnsiTheme="majorEastAsia" w:eastAsiaTheme="majorEastAsia"/>
          <w:bCs/>
          <w:sz w:val="32"/>
          <w:szCs w:val="32"/>
        </w:rPr>
        <w:t xml:space="preserve"> </w:t>
      </w:r>
      <w:r>
        <w:rPr>
          <w:rFonts w:hint="eastAsia" w:ascii="黑体" w:hAnsi="黑体" w:eastAsia="黑体"/>
          <w:bCs/>
          <w:sz w:val="32"/>
          <w:szCs w:val="32"/>
        </w:rPr>
        <w:t>第一部分</w:t>
      </w:r>
      <w:r>
        <w:rPr>
          <w:rFonts w:hint="eastAsia" w:eastAsia="黑体" w:asciiTheme="majorEastAsia" w:hAnsiTheme="majorEastAsia"/>
          <w:bCs/>
          <w:sz w:val="32"/>
          <w:szCs w:val="32"/>
        </w:rPr>
        <w:t> </w:t>
      </w:r>
      <w:r>
        <w:rPr>
          <w:rFonts w:hint="eastAsia" w:ascii="黑体" w:hAnsi="黑体" w:eastAsia="黑体"/>
          <w:bCs/>
          <w:sz w:val="32"/>
          <w:szCs w:val="32"/>
        </w:rPr>
        <w:t>武汉市洪山区发展和改革委员会概况</w:t>
      </w:r>
    </w:p>
    <w:p>
      <w:pPr>
        <w:pStyle w:val="12"/>
        <w:numPr>
          <w:ilvl w:val="0"/>
          <w:numId w:val="1"/>
        </w:numPr>
        <w:snapToGrid w:val="0"/>
        <w:spacing w:before="100" w:beforeAutospacing="1" w:after="100" w:afterAutospacing="1" w:line="580" w:lineRule="atLeast"/>
        <w:ind w:firstLineChars="0"/>
        <w:rPr>
          <w:rFonts w:ascii="黑体" w:hAnsi="黑体" w:eastAsia="黑体"/>
          <w:sz w:val="32"/>
          <w:szCs w:val="32"/>
        </w:rPr>
      </w:pPr>
      <w:r>
        <w:rPr>
          <w:rFonts w:hint="eastAsia" w:ascii="黑体" w:hAnsi="黑体" w:eastAsia="黑体"/>
          <w:sz w:val="32"/>
          <w:szCs w:val="32"/>
        </w:rPr>
        <w:t>部门主要职能</w:t>
      </w:r>
    </w:p>
    <w:p>
      <w:pPr>
        <w:snapToGrid w:val="0"/>
        <w:spacing w:line="520" w:lineRule="exact"/>
        <w:ind w:left="640"/>
        <w:rPr>
          <w:rFonts w:asciiTheme="majorEastAsia" w:hAnsiTheme="majorEastAsia" w:eastAsiaTheme="majorEastAsia"/>
          <w:sz w:val="32"/>
          <w:szCs w:val="32"/>
        </w:rPr>
      </w:pPr>
      <w:r>
        <w:rPr>
          <w:rFonts w:hint="eastAsia" w:asciiTheme="majorEastAsia" w:hAnsiTheme="majorEastAsia" w:eastAsiaTheme="majorEastAsia"/>
          <w:sz w:val="32"/>
          <w:szCs w:val="32"/>
        </w:rPr>
        <w:t>1．主要职能。</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w:t>
      </w:r>
      <w:r>
        <w:rPr>
          <w:rFonts w:hint="eastAsia" w:asciiTheme="majorEastAsia" w:hAnsiTheme="majorEastAsia" w:eastAsiaTheme="majorEastAsia"/>
          <w:sz w:val="32"/>
          <w:szCs w:val="32"/>
        </w:rPr>
        <w:t>）拟订并组织实施全区国民经济和社会发展战略、中长期规划和年度计划，统筹协调经济社会发展，分析国内外及全区经济形势和发展情况，提出国民经济发展和优化重大经济结构的目标和政策措施；做好社会总需求和总供给等重要经济总量的综合平衡和重大比例关系的协调；受区人民政府委托向区人民代表大会作国民经济和社会发展计划的报告。</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2</w:t>
      </w:r>
      <w:r>
        <w:rPr>
          <w:rFonts w:hint="eastAsia" w:asciiTheme="majorEastAsia" w:hAnsiTheme="majorEastAsia" w:eastAsiaTheme="majorEastAsia"/>
          <w:sz w:val="32"/>
          <w:szCs w:val="32"/>
        </w:rPr>
        <w:t>）负责监测宏观经济和社会发展态势，承担预测预警和信息引导的责任，研究并协调全区经济和社会发展方面的重大问题，提出政策措施和建议；参与组织重要经济政策、措施的制定和贯彻实施。</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3</w:t>
      </w:r>
      <w:r>
        <w:rPr>
          <w:rFonts w:hint="eastAsia" w:asciiTheme="majorEastAsia" w:hAnsiTheme="majorEastAsia" w:eastAsiaTheme="majorEastAsia"/>
          <w:sz w:val="32"/>
          <w:szCs w:val="32"/>
        </w:rPr>
        <w:t>）负责汇总和分析财政、物价等方面运行情况，综合分析财政、产业、价格政策的执行效果并提出建议；负责全口径外债的总量控制、结构优化和监测工作。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4</w:t>
      </w:r>
      <w:r>
        <w:rPr>
          <w:rFonts w:hint="eastAsia" w:asciiTheme="majorEastAsia" w:hAnsiTheme="majorEastAsia" w:eastAsiaTheme="majorEastAsia"/>
          <w:sz w:val="32"/>
          <w:szCs w:val="32"/>
        </w:rPr>
        <w:t>）承担指导推进和综合协调经济体制改革的责任，研究经济体制改革和对外开放的重大问题，组织拟订全区综合性经济体制改革方案，协调有关专项经济体制改革方案，会同有关部门搞好重要专项经济体制改革之间的衔接，负责推进全区“两型社会”建设综合配套改革试验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5</w:t>
      </w:r>
      <w:r>
        <w:rPr>
          <w:rFonts w:hint="eastAsia" w:asciiTheme="majorEastAsia" w:hAnsiTheme="majorEastAsia" w:eastAsiaTheme="majorEastAsia"/>
          <w:sz w:val="32"/>
          <w:szCs w:val="32"/>
        </w:rPr>
        <w:t>）承担规划重大建设项目和生产力布局的责任。拟订全区社会固定资产投资总规模和投资结构的调控目标、政策及措施，衔接平衡需要安排区人民政府投资和涉及重大建设项目的专项规划；安排财政性建设资金、项目及国家预算内专项资金和地方预算内专项资金；编制全区固定资产投资计划、重大项目计划、高技术产业发展项目计划并负责组织实施；按规定权限审批政府投资项目，核准、备案企业投资项目，负责审核并上报国家、省、市发展和改革委员会审批、核准的投资项目；负责推进全社会信用体系建设，引导民间投资的方向；负责全区重大建设项目稽察工作；指导工程咨询业发展。</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6</w:t>
      </w:r>
      <w:r>
        <w:rPr>
          <w:rFonts w:hint="eastAsia" w:asciiTheme="majorEastAsia" w:hAnsiTheme="majorEastAsia" w:eastAsiaTheme="majorEastAsia"/>
          <w:sz w:val="32"/>
          <w:szCs w:val="32"/>
        </w:rPr>
        <w:t>）推进经济结构战略性调整。负责协调第一、二、三产业发展的重大问题，做好与国民经济和社会发展规划、计划的衔接平衡；研究、协调农业和农村经济社会发展的重大问题，衔接有关农村专项规划和政策；参与做好电力管理工作。会同有关部门拟订服务业发展战略和政策措施，协调服务业发展，推进现代服务业中心建设；组织拟订高技术产业发展、产业技术创新战略、规划和政策，推进重大创新成果产业化，并协调解决相关重大问题。</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7</w:t>
      </w:r>
      <w:r>
        <w:rPr>
          <w:rFonts w:hint="eastAsia" w:asciiTheme="majorEastAsia" w:hAnsiTheme="majorEastAsia" w:eastAsiaTheme="majorEastAsia"/>
          <w:sz w:val="32"/>
          <w:szCs w:val="32"/>
        </w:rPr>
        <w:t>）负责全区开发区的有关协调工作，组织对开发区建设发展中涉及全局性的政策性问题进行调查研究并提出有关建议，指导全区省级开发区制订发展规划，按规定做好开发区设置管理工作。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8</w:t>
      </w:r>
      <w:r>
        <w:rPr>
          <w:rFonts w:hint="eastAsia" w:asciiTheme="majorEastAsia" w:hAnsiTheme="majorEastAsia" w:eastAsiaTheme="majorEastAsia"/>
          <w:sz w:val="32"/>
          <w:szCs w:val="32"/>
        </w:rPr>
        <w:t>）研究分析全区市场供求状况，做好重要商品的总量平衡和宏观调节，提出促进消费需求增长的措施建议。编制重要农产品、工业品和原材料进出口总量计划，监督计划执行情况；做好重要物资和商品的储备计划管理。</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9</w:t>
      </w:r>
      <w:r>
        <w:rPr>
          <w:rFonts w:hint="eastAsia" w:asciiTheme="majorEastAsia" w:hAnsiTheme="majorEastAsia" w:eastAsiaTheme="majorEastAsia"/>
          <w:sz w:val="32"/>
          <w:szCs w:val="32"/>
        </w:rPr>
        <w:t>）负责全区社会发展与国民经济发展的政策衔接，组织拟订全区社会发展战略、总体规划和年度计划，参与拟订人口与计划生育、科学技术、教育、文化、卫生、民政等发展政策措施，协调社会事业发展的重大问题；研究提出促进就业、调整收入分配、完善社会保障与经济协调发展的重大问题。</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10</w:t>
      </w:r>
      <w:r>
        <w:rPr>
          <w:rFonts w:hint="eastAsia" w:asciiTheme="majorEastAsia" w:hAnsiTheme="majorEastAsia" w:eastAsiaTheme="majorEastAsia"/>
          <w:sz w:val="32"/>
          <w:szCs w:val="32"/>
        </w:rPr>
        <w:t>）推进可持续发展战略。负责全区节能减排的综合协调工作，组织拟订全区发展循环经济、全社会能源资源节约和综合利用规划及措施并协调实施，参与编制生态建设、环境保护规划，协调生态建设、能源资源节约和综合利用的重大问题，综合协调环保产业和清洁生产促进有关工作，按有关规定做好可再生资源和可再生能源开发利用管理工作；参与应对气候变化相关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11</w:t>
      </w:r>
      <w:r>
        <w:rPr>
          <w:rFonts w:hint="eastAsia" w:asciiTheme="majorEastAsia" w:hAnsiTheme="majorEastAsia" w:eastAsiaTheme="majorEastAsia"/>
          <w:sz w:val="32"/>
          <w:szCs w:val="32"/>
        </w:rPr>
        <w:t>）拟订全区投资体制改革方案并组织实施；负责全区重大项目的综合管理；按规定指导、协调和监管全区招投标工作。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12</w:t>
      </w:r>
      <w:r>
        <w:rPr>
          <w:rFonts w:hint="eastAsia" w:asciiTheme="majorEastAsia" w:hAnsiTheme="majorEastAsia" w:eastAsiaTheme="majorEastAsia"/>
          <w:sz w:val="32"/>
          <w:szCs w:val="32"/>
        </w:rPr>
        <w:t>）负责全区国民经济动员工作；拟订和实施国民经济动员计划，编制国民经济动员应急保障预案、方案；组织国民经济潜力调查。</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13</w:t>
      </w:r>
      <w:r>
        <w:rPr>
          <w:rFonts w:hint="eastAsia" w:asciiTheme="majorEastAsia" w:hAnsiTheme="majorEastAsia" w:eastAsiaTheme="majorEastAsia"/>
          <w:sz w:val="32"/>
          <w:szCs w:val="32"/>
        </w:rPr>
        <w:t>）负责支援三峡工程建设有关工作；负责有关移民的接收、安置等管理协调工作。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14</w:t>
      </w:r>
      <w:r>
        <w:rPr>
          <w:rFonts w:hint="eastAsia" w:asciiTheme="majorEastAsia" w:hAnsiTheme="majorEastAsia" w:eastAsiaTheme="majorEastAsia"/>
          <w:sz w:val="32"/>
          <w:szCs w:val="32"/>
        </w:rPr>
        <w:t>）贯彻执行国家价格法律、法规、规章和价格方针、政策；会同有关部门管理区级行政事业性收费项目；指导行业组织的价格自律工作。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15</w:t>
      </w:r>
      <w:r>
        <w:rPr>
          <w:rFonts w:hint="eastAsia" w:asciiTheme="majorEastAsia" w:hAnsiTheme="majorEastAsia" w:eastAsiaTheme="majorEastAsia"/>
          <w:sz w:val="32"/>
          <w:szCs w:val="32"/>
        </w:rPr>
        <w:t>）组织开展全区价格和收费的监督检查工作，查处价格欺诈、价格歧视以及低价倾销等各种价格违法和乱收费行为；负责群众价格举报、投诉和咨询工作；负责商品和服务价格的明码标价工作；负责组织开展价格公共服务工作；指导价格社会监督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16</w:t>
      </w:r>
      <w:r>
        <w:rPr>
          <w:rFonts w:hint="eastAsia" w:asciiTheme="majorEastAsia" w:hAnsiTheme="majorEastAsia" w:eastAsiaTheme="majorEastAsia"/>
          <w:sz w:val="32"/>
          <w:szCs w:val="32"/>
        </w:rPr>
        <w:t>）负责全区农产品、工业品、公用事业和公益性服务价格及国家机关收费的成本调查和监审工作；负责全区涉案财产的价格鉴证工作；指导中介机构的价格鉴证工作。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17</w:t>
      </w:r>
      <w:r>
        <w:rPr>
          <w:rFonts w:hint="eastAsia" w:asciiTheme="majorEastAsia" w:hAnsiTheme="majorEastAsia" w:eastAsiaTheme="majorEastAsia"/>
          <w:sz w:val="32"/>
          <w:szCs w:val="32"/>
        </w:rPr>
        <w:t>）贯彻执行国家和省、市粮食工作政策、法规；负责全区粮食流通行政管理；负责对粮食收购、储存环节的粮食质量安全和原粮卫生进行监督管理；负责粮食收购资格许可行为的监督检查和粮食收购资格核查；负责对全区粮食流通统计制度的执行情况进行监督检查；贯彻落实军粮供应政策，协调灾区灾民的粮食供应；监督检查全区粮食流通和储备粮管理的法律、法规、政策的贯彻执行情况；监督检查粮食收购、销售、储存、运输和政策性用粮的购销活动。</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18</w:t>
      </w:r>
      <w:r>
        <w:rPr>
          <w:rFonts w:hint="eastAsia" w:asciiTheme="majorEastAsia" w:hAnsiTheme="majorEastAsia" w:eastAsiaTheme="majorEastAsia"/>
          <w:sz w:val="32"/>
          <w:szCs w:val="32"/>
        </w:rPr>
        <w:t>）负责全区粮食流通的行业管理；配合做好粮食安全、监测预警和应急保障预案工作。</w:t>
      </w:r>
    </w:p>
    <w:p>
      <w:pPr>
        <w:spacing w:line="58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19</w:t>
      </w:r>
      <w:r>
        <w:rPr>
          <w:rFonts w:hint="eastAsia" w:asciiTheme="majorEastAsia" w:hAnsiTheme="majorEastAsia" w:eastAsiaTheme="majorEastAsia"/>
          <w:sz w:val="32"/>
          <w:szCs w:val="32"/>
        </w:rPr>
        <w:t>）承办上级交办的其他事项。</w:t>
      </w:r>
    </w:p>
    <w:p>
      <w:pPr>
        <w:snapToGrid w:val="0"/>
        <w:spacing w:before="100" w:beforeAutospacing="1" w:after="100" w:afterAutospacing="1" w:line="580" w:lineRule="atLeast"/>
        <w:ind w:firstLine="640" w:firstLineChars="200"/>
        <w:rPr>
          <w:rFonts w:ascii="黑体" w:hAnsi="黑体" w:eastAsia="黑体"/>
          <w:sz w:val="32"/>
          <w:szCs w:val="32"/>
        </w:rPr>
      </w:pPr>
      <w:r>
        <w:rPr>
          <w:rFonts w:hint="eastAsia" w:ascii="黑体" w:hAnsi="黑体" w:eastAsia="黑体"/>
          <w:sz w:val="32"/>
          <w:szCs w:val="32"/>
        </w:rPr>
        <w:t>二、部门决算单位构成</w:t>
      </w:r>
    </w:p>
    <w:p>
      <w:pPr>
        <w:snapToGrid w:val="0"/>
        <w:spacing w:before="100" w:beforeAutospacing="1" w:after="100" w:afterAutospacing="1" w:line="580" w:lineRule="atLeas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从决算单位构成来看，武汉市洪山区发展和改革委员会部门决算由纳入独立核算的单位本级决和</w:t>
      </w:r>
      <w:r>
        <w:rPr>
          <w:rFonts w:hint="eastAsia" w:asciiTheme="majorEastAsia" w:hAnsiTheme="majorEastAsia" w:eastAsiaTheme="majorEastAsia"/>
          <w:sz w:val="32"/>
          <w:szCs w:val="32"/>
          <w:u w:val="single"/>
        </w:rPr>
        <w:t> 4</w:t>
      </w:r>
      <w:r>
        <w:rPr>
          <w:rFonts w:hint="eastAsia" w:asciiTheme="majorEastAsia" w:hAnsiTheme="majorEastAsia" w:eastAsiaTheme="majorEastAsia"/>
          <w:sz w:val="32"/>
          <w:szCs w:val="32"/>
        </w:rPr>
        <w:t>个下属单位决算组成。其中：行政单位</w:t>
      </w:r>
      <w:r>
        <w:rPr>
          <w:rFonts w:hint="eastAsia" w:asciiTheme="majorEastAsia" w:hAnsiTheme="majorEastAsia" w:eastAsiaTheme="majorEastAsia"/>
          <w:sz w:val="32"/>
          <w:szCs w:val="32"/>
          <w:u w:val="single"/>
        </w:rPr>
        <w:t>3</w:t>
      </w:r>
      <w:r>
        <w:rPr>
          <w:rFonts w:hint="eastAsia" w:asciiTheme="majorEastAsia" w:hAnsiTheme="majorEastAsia" w:eastAsiaTheme="majorEastAsia"/>
          <w:sz w:val="32"/>
          <w:szCs w:val="32"/>
        </w:rPr>
        <w:t>个、参照公务员法管理事业单位</w:t>
      </w:r>
      <w:r>
        <w:rPr>
          <w:rFonts w:hint="eastAsia" w:asciiTheme="majorEastAsia" w:hAnsiTheme="majorEastAsia" w:eastAsiaTheme="majorEastAsia"/>
          <w:sz w:val="32"/>
          <w:szCs w:val="32"/>
          <w:u w:val="single"/>
        </w:rPr>
        <w:t> 0 </w:t>
      </w:r>
      <w:r>
        <w:rPr>
          <w:rFonts w:hint="eastAsia" w:asciiTheme="majorEastAsia" w:hAnsiTheme="majorEastAsia" w:eastAsiaTheme="majorEastAsia"/>
          <w:sz w:val="32"/>
          <w:szCs w:val="32"/>
        </w:rPr>
        <w:t>个、全额拨款事业单位</w:t>
      </w:r>
      <w:r>
        <w:rPr>
          <w:rFonts w:hint="eastAsia" w:asciiTheme="majorEastAsia" w:hAnsiTheme="majorEastAsia" w:eastAsiaTheme="majorEastAsia"/>
          <w:sz w:val="32"/>
          <w:szCs w:val="32"/>
          <w:u w:val="single"/>
        </w:rPr>
        <w:t xml:space="preserve"> 2 </w:t>
      </w:r>
      <w:r>
        <w:rPr>
          <w:rFonts w:hint="eastAsia" w:asciiTheme="majorEastAsia" w:hAnsiTheme="majorEastAsia" w:eastAsiaTheme="majorEastAsia"/>
          <w:sz w:val="32"/>
          <w:szCs w:val="32"/>
        </w:rPr>
        <w:t>个、差额拨款事业单位</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个、自收自支事业单位</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个。</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武汉市洪山区发展和改革委员会2018年度部门决算编制范围的二级预算单位包括：</w:t>
      </w:r>
    </w:p>
    <w:p>
      <w:pPr>
        <w:widowControl w:val="0"/>
        <w:numPr>
          <w:ilvl w:val="0"/>
          <w:numId w:val="2"/>
        </w:numPr>
        <w:kinsoku w:val="0"/>
        <w:adjustRightInd w:val="0"/>
        <w:snapToGrid w:val="0"/>
        <w:spacing w:line="640" w:lineRule="exact"/>
        <w:jc w:val="both"/>
        <w:rPr>
          <w:rFonts w:asciiTheme="majorEastAsia" w:hAnsiTheme="majorEastAsia" w:eastAsiaTheme="majorEastAsia"/>
          <w:sz w:val="32"/>
          <w:szCs w:val="32"/>
        </w:rPr>
      </w:pPr>
      <w:r>
        <w:rPr>
          <w:rFonts w:hint="eastAsia" w:asciiTheme="majorEastAsia" w:hAnsiTheme="majorEastAsia" w:eastAsiaTheme="majorEastAsia"/>
          <w:sz w:val="32"/>
          <w:szCs w:val="32"/>
        </w:rPr>
        <w:t>洪山区价格监督检查分局</w:t>
      </w:r>
    </w:p>
    <w:p>
      <w:pPr>
        <w:widowControl w:val="0"/>
        <w:numPr>
          <w:ilvl w:val="0"/>
          <w:numId w:val="2"/>
        </w:numPr>
        <w:kinsoku w:val="0"/>
        <w:adjustRightInd w:val="0"/>
        <w:snapToGrid w:val="0"/>
        <w:spacing w:line="640" w:lineRule="exact"/>
        <w:jc w:val="both"/>
        <w:rPr>
          <w:rFonts w:asciiTheme="majorEastAsia" w:hAnsiTheme="majorEastAsia" w:eastAsiaTheme="majorEastAsia"/>
          <w:sz w:val="32"/>
          <w:szCs w:val="32"/>
        </w:rPr>
      </w:pPr>
      <w:r>
        <w:rPr>
          <w:rFonts w:hint="eastAsia" w:asciiTheme="majorEastAsia" w:hAnsiTheme="majorEastAsia" w:eastAsiaTheme="majorEastAsia"/>
          <w:sz w:val="32"/>
          <w:szCs w:val="32"/>
        </w:rPr>
        <w:t>洪山区成本监审价格认定分局</w:t>
      </w:r>
    </w:p>
    <w:p>
      <w:pPr>
        <w:widowControl w:val="0"/>
        <w:numPr>
          <w:ilvl w:val="0"/>
          <w:numId w:val="2"/>
        </w:numPr>
        <w:kinsoku w:val="0"/>
        <w:adjustRightInd w:val="0"/>
        <w:snapToGrid w:val="0"/>
        <w:spacing w:line="640" w:lineRule="exact"/>
        <w:jc w:val="both"/>
        <w:rPr>
          <w:rFonts w:asciiTheme="majorEastAsia" w:hAnsiTheme="majorEastAsia" w:eastAsiaTheme="majorEastAsia"/>
          <w:sz w:val="32"/>
          <w:szCs w:val="32"/>
        </w:rPr>
      </w:pPr>
      <w:r>
        <w:rPr>
          <w:rFonts w:hint="eastAsia" w:asciiTheme="majorEastAsia" w:hAnsiTheme="majorEastAsia" w:eastAsiaTheme="majorEastAsia"/>
          <w:sz w:val="32"/>
          <w:szCs w:val="32"/>
        </w:rPr>
        <w:t>洪山区节能监察中心</w:t>
      </w:r>
    </w:p>
    <w:p>
      <w:pPr>
        <w:widowControl w:val="0"/>
        <w:numPr>
          <w:ilvl w:val="0"/>
          <w:numId w:val="2"/>
        </w:numPr>
        <w:kinsoku w:val="0"/>
        <w:adjustRightInd w:val="0"/>
        <w:snapToGrid w:val="0"/>
        <w:spacing w:line="640" w:lineRule="exact"/>
        <w:jc w:val="both"/>
        <w:rPr>
          <w:rFonts w:asciiTheme="majorEastAsia" w:hAnsiTheme="majorEastAsia" w:eastAsiaTheme="majorEastAsia"/>
          <w:sz w:val="32"/>
          <w:szCs w:val="32"/>
        </w:rPr>
      </w:pPr>
      <w:r>
        <w:rPr>
          <w:rFonts w:hint="eastAsia" w:asciiTheme="majorEastAsia" w:hAnsiTheme="majorEastAsia" w:eastAsiaTheme="majorEastAsia"/>
          <w:sz w:val="32"/>
          <w:szCs w:val="32"/>
        </w:rPr>
        <w:t>洪山区粮食办公室</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三、部门人员构成</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武汉市洪山区发展和改革委员会总编制人数</w:t>
      </w:r>
      <w:r>
        <w:rPr>
          <w:rFonts w:hint="eastAsia" w:asciiTheme="majorEastAsia" w:hAnsiTheme="majorEastAsia" w:eastAsiaTheme="majorEastAsia"/>
          <w:sz w:val="32"/>
          <w:szCs w:val="32"/>
          <w:u w:val="single"/>
        </w:rPr>
        <w:t xml:space="preserve"> 45  </w:t>
      </w:r>
      <w:r>
        <w:rPr>
          <w:rFonts w:hint="eastAsia" w:asciiTheme="majorEastAsia" w:hAnsiTheme="majorEastAsia" w:eastAsiaTheme="majorEastAsia"/>
          <w:sz w:val="32"/>
          <w:szCs w:val="32"/>
        </w:rPr>
        <w:t>人，其中：行政编制</w:t>
      </w:r>
      <w:r>
        <w:rPr>
          <w:rFonts w:hint="eastAsia" w:asciiTheme="majorEastAsia" w:hAnsiTheme="majorEastAsia" w:eastAsiaTheme="majorEastAsia"/>
          <w:sz w:val="32"/>
          <w:szCs w:val="32"/>
          <w:u w:val="single"/>
        </w:rPr>
        <w:t xml:space="preserve">  30  </w:t>
      </w:r>
      <w:r>
        <w:rPr>
          <w:rFonts w:hint="eastAsia" w:asciiTheme="majorEastAsia" w:hAnsiTheme="majorEastAsia" w:eastAsiaTheme="majorEastAsia"/>
          <w:sz w:val="32"/>
          <w:szCs w:val="32"/>
        </w:rPr>
        <w:t>人，事业编制</w:t>
      </w:r>
      <w:r>
        <w:rPr>
          <w:rFonts w:hint="eastAsia" w:asciiTheme="majorEastAsia" w:hAnsiTheme="majorEastAsia" w:eastAsiaTheme="majorEastAsia"/>
          <w:sz w:val="32"/>
          <w:szCs w:val="32"/>
          <w:u w:val="single"/>
        </w:rPr>
        <w:t xml:space="preserve"> 15  </w:t>
      </w:r>
      <w:r>
        <w:rPr>
          <w:rFonts w:hint="eastAsia" w:asciiTheme="majorEastAsia" w:hAnsiTheme="majorEastAsia" w:eastAsiaTheme="majorEastAsia"/>
          <w:sz w:val="32"/>
          <w:szCs w:val="32"/>
        </w:rPr>
        <w:t>人(其中：参照公务员法管理 0 人)。在职实有人数44人 ，其中：行政</w:t>
      </w:r>
      <w:r>
        <w:rPr>
          <w:rFonts w:hint="eastAsia" w:asciiTheme="majorEastAsia" w:hAnsiTheme="majorEastAsia" w:eastAsiaTheme="majorEastAsia"/>
          <w:sz w:val="32"/>
          <w:szCs w:val="32"/>
          <w:u w:val="single"/>
        </w:rPr>
        <w:t xml:space="preserve">  29</w:t>
      </w:r>
      <w:r>
        <w:rPr>
          <w:rFonts w:hint="eastAsia" w:asciiTheme="majorEastAsia" w:hAnsiTheme="majorEastAsia" w:eastAsiaTheme="majorEastAsia"/>
          <w:sz w:val="32"/>
          <w:szCs w:val="32"/>
        </w:rPr>
        <w:t>人，事业</w:t>
      </w:r>
      <w:r>
        <w:rPr>
          <w:rFonts w:hint="eastAsia" w:asciiTheme="majorEastAsia" w:hAnsiTheme="majorEastAsia" w:eastAsiaTheme="majorEastAsia"/>
          <w:sz w:val="32"/>
          <w:szCs w:val="32"/>
          <w:u w:val="single"/>
        </w:rPr>
        <w:t xml:space="preserve"> 15 </w:t>
      </w:r>
      <w:r>
        <w:rPr>
          <w:rFonts w:hint="eastAsia" w:asciiTheme="majorEastAsia" w:hAnsiTheme="majorEastAsia" w:eastAsiaTheme="majorEastAsia"/>
          <w:sz w:val="32"/>
          <w:szCs w:val="32"/>
        </w:rPr>
        <w:t>人(其中：参照公务员法管理</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离退休人员</w:t>
      </w:r>
      <w:r>
        <w:rPr>
          <w:rFonts w:hint="eastAsia" w:asciiTheme="majorEastAsia" w:hAnsiTheme="majorEastAsia" w:eastAsiaTheme="majorEastAsia"/>
          <w:sz w:val="32"/>
          <w:szCs w:val="32"/>
          <w:u w:val="single"/>
        </w:rPr>
        <w:t xml:space="preserve"> 79  </w:t>
      </w:r>
      <w:r>
        <w:rPr>
          <w:rFonts w:hint="eastAsia" w:asciiTheme="majorEastAsia" w:hAnsiTheme="majorEastAsia" w:eastAsiaTheme="majorEastAsia"/>
          <w:sz w:val="32"/>
          <w:szCs w:val="32"/>
        </w:rPr>
        <w:t>人，其中：离休</w:t>
      </w:r>
      <w:r>
        <w:rPr>
          <w:rFonts w:hint="eastAsia" w:asciiTheme="majorEastAsia" w:hAnsiTheme="majorEastAsia" w:eastAsiaTheme="majorEastAsia"/>
          <w:sz w:val="32"/>
          <w:szCs w:val="32"/>
          <w:u w:val="single"/>
        </w:rPr>
        <w:t xml:space="preserve"> 2  </w:t>
      </w:r>
      <w:r>
        <w:rPr>
          <w:rFonts w:hint="eastAsia" w:asciiTheme="majorEastAsia" w:hAnsiTheme="majorEastAsia" w:eastAsiaTheme="majorEastAsia"/>
          <w:sz w:val="32"/>
          <w:szCs w:val="32"/>
        </w:rPr>
        <w:t>人，退休</w:t>
      </w:r>
      <w:r>
        <w:rPr>
          <w:rFonts w:hint="eastAsia" w:asciiTheme="majorEastAsia" w:hAnsiTheme="majorEastAsia" w:eastAsiaTheme="majorEastAsia"/>
          <w:sz w:val="32"/>
          <w:szCs w:val="32"/>
          <w:u w:val="single"/>
        </w:rPr>
        <w:t xml:space="preserve">  77 </w:t>
      </w:r>
      <w:r>
        <w:rPr>
          <w:rFonts w:hint="eastAsia" w:asciiTheme="majorEastAsia" w:hAnsiTheme="majorEastAsia" w:eastAsiaTheme="majorEastAsia"/>
          <w:sz w:val="32"/>
          <w:szCs w:val="32"/>
        </w:rPr>
        <w:t>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w:t>
      </w:r>
      <w:r>
        <w:rPr>
          <w:rFonts w:hint="eastAsia" w:asciiTheme="majorEastAsia" w:hAnsiTheme="majorEastAsia" w:eastAsiaTheme="majorEastAsia"/>
          <w:b/>
          <w:bCs/>
          <w:sz w:val="32"/>
          <w:szCs w:val="32"/>
        </w:rPr>
        <w:t>第二部分  2018年度部门决算表</w:t>
      </w:r>
    </w:p>
    <w:p>
      <w:pPr>
        <w:snapToGrid w:val="0"/>
        <w:spacing w:before="100" w:beforeAutospacing="1" w:after="100" w:afterAutospacing="1"/>
        <w:rPr>
          <w:rFonts w:asciiTheme="majorEastAsia" w:hAnsiTheme="majorEastAsia" w:eastAsiaTheme="majorEastAsia"/>
          <w:sz w:val="32"/>
          <w:szCs w:val="32"/>
        </w:rPr>
      </w:pP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4740910" cy="8879840"/>
            <wp:effectExtent l="19050" t="0" r="2419"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cstate="print"/>
                    <a:srcRect/>
                    <a:stretch>
                      <a:fillRect/>
                    </a:stretch>
                  </pic:blipFill>
                  <pic:spPr>
                    <a:xfrm>
                      <a:off x="0" y="0"/>
                      <a:ext cx="4747378" cy="8892119"/>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5274945" cy="8717915"/>
            <wp:effectExtent l="1905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cstate="print"/>
                    <a:srcRect/>
                    <a:stretch>
                      <a:fillRect/>
                    </a:stretch>
                  </pic:blipFill>
                  <pic:spPr>
                    <a:xfrm>
                      <a:off x="0" y="0"/>
                      <a:ext cx="5274945" cy="8718030"/>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5271770" cy="8739505"/>
            <wp:effectExtent l="19050" t="0" r="4836"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8" cstate="print"/>
                    <a:srcRect/>
                    <a:stretch>
                      <a:fillRect/>
                    </a:stretch>
                  </pic:blipFill>
                  <pic:spPr>
                    <a:xfrm>
                      <a:off x="0" y="0"/>
                      <a:ext cx="5274945" cy="8744413"/>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5271770" cy="8660130"/>
            <wp:effectExtent l="19050" t="0" r="4836" b="0"/>
            <wp:docPr id="1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true" noChangeArrowheads="true"/>
                    </pic:cNvPicPr>
                  </pic:nvPicPr>
                  <pic:blipFill>
                    <a:blip r:embed="rId9" cstate="print"/>
                    <a:srcRect/>
                    <a:stretch>
                      <a:fillRect/>
                    </a:stretch>
                  </pic:blipFill>
                  <pic:spPr>
                    <a:xfrm>
                      <a:off x="0" y="0"/>
                      <a:ext cx="5274945" cy="8665238"/>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5066030" cy="8844915"/>
            <wp:effectExtent l="19050" t="0" r="816" b="0"/>
            <wp:docPr id="1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true" noChangeArrowheads="true"/>
                    </pic:cNvPicPr>
                  </pic:nvPicPr>
                  <pic:blipFill>
                    <a:blip r:embed="rId10" cstate="print"/>
                    <a:srcRect/>
                    <a:stretch>
                      <a:fillRect/>
                    </a:stretch>
                  </pic:blipFill>
                  <pic:spPr>
                    <a:xfrm>
                      <a:off x="0" y="0"/>
                      <a:ext cx="5076586" cy="8862698"/>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5266690" cy="8739505"/>
            <wp:effectExtent l="19050" t="0" r="0" b="0"/>
            <wp:docPr id="1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true" noChangeArrowheads="true"/>
                    </pic:cNvPicPr>
                  </pic:nvPicPr>
                  <pic:blipFill>
                    <a:blip r:embed="rId11" cstate="print"/>
                    <a:srcRect/>
                    <a:stretch>
                      <a:fillRect/>
                    </a:stretch>
                  </pic:blipFill>
                  <pic:spPr>
                    <a:xfrm>
                      <a:off x="0" y="0"/>
                      <a:ext cx="5274945" cy="8752847"/>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sectPr>
          <w:headerReference r:id="rId3" w:type="default"/>
          <w:headerReference r:id="rId4" w:type="even"/>
          <w:pgSz w:w="11907" w:h="16840"/>
          <w:pgMar w:top="1440" w:right="1800" w:bottom="1440" w:left="1800" w:header="851" w:footer="992" w:gutter="0"/>
          <w:cols w:space="425" w:num="1"/>
          <w:docGrid w:type="lines" w:linePitch="326" w:charSpace="0"/>
        </w:sectPr>
      </w:pPr>
    </w:p>
    <w:p>
      <w:pPr>
        <w:snapToGrid w:val="0"/>
        <w:spacing w:before="100" w:beforeAutospacing="1" w:after="100" w:afterAutospacing="1"/>
        <w:jc w:val="center"/>
        <w:rPr>
          <w:rFonts w:asciiTheme="majorEastAsia" w:hAnsiTheme="majorEastAsia" w:eastAsiaTheme="majorEastAsia"/>
          <w:sz w:val="32"/>
          <w:szCs w:val="32"/>
        </w:rPr>
        <w:sectPr>
          <w:pgSz w:w="16840" w:h="11907" w:orient="landscape"/>
          <w:pgMar w:top="1797" w:right="1440" w:bottom="1797" w:left="1440" w:header="851" w:footer="992" w:gutter="0"/>
          <w:cols w:space="425" w:num="1"/>
          <w:docGrid w:type="linesAndChars" w:linePitch="326" w:charSpace="0"/>
        </w:sectPr>
      </w:pPr>
      <w:r>
        <w:rPr>
          <w:rFonts w:hint="eastAsia" w:asciiTheme="majorEastAsia" w:hAnsiTheme="majorEastAsia" w:eastAsiaTheme="majorEastAsia"/>
          <w:sz w:val="32"/>
          <w:szCs w:val="32"/>
        </w:rPr>
        <w:drawing>
          <wp:inline distT="0" distB="0" distL="0" distR="0">
            <wp:extent cx="8913495" cy="4721225"/>
            <wp:effectExtent l="19050" t="0" r="1465" b="0"/>
            <wp:docPr id="1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true" noChangeArrowheads="true"/>
                    </pic:cNvPicPr>
                  </pic:nvPicPr>
                  <pic:blipFill>
                    <a:blip r:embed="rId12" cstate="print"/>
                    <a:srcRect/>
                    <a:stretch>
                      <a:fillRect/>
                    </a:stretch>
                  </pic:blipFill>
                  <pic:spPr>
                    <a:xfrm>
                      <a:off x="0" y="0"/>
                      <a:ext cx="8918889" cy="4724093"/>
                    </a:xfrm>
                    <a:prstGeom prst="rect">
                      <a:avLst/>
                    </a:prstGeom>
                    <a:noFill/>
                    <a:ln w="9525">
                      <a:noFill/>
                      <a:miter lim="800000"/>
                      <a:headEnd/>
                      <a:tailEnd/>
                    </a:ln>
                  </pic:spPr>
                </pic:pic>
              </a:graphicData>
            </a:graphic>
          </wp:inline>
        </w:drawing>
      </w:r>
    </w:p>
    <w:p>
      <w:pPr>
        <w:snapToGrid w:val="0"/>
        <w:spacing w:before="100" w:beforeAutospacing="1" w:after="100" w:afterAutospacing="1"/>
        <w:jc w:val="center"/>
        <w:rPr>
          <w:rFonts w:asciiTheme="majorEastAsia" w:hAnsiTheme="majorEastAsia" w:eastAsiaTheme="majorEastAsia"/>
          <w:sz w:val="32"/>
          <w:szCs w:val="32"/>
        </w:rPr>
        <w:sectPr>
          <w:pgSz w:w="16840" w:h="11907" w:orient="landscape"/>
          <w:pgMar w:top="1797" w:right="1440" w:bottom="1797" w:left="1440" w:header="851" w:footer="992" w:gutter="0"/>
          <w:cols w:space="425" w:num="1"/>
          <w:docGrid w:type="linesAndChars" w:linePitch="326" w:charSpace="0"/>
        </w:sectPr>
      </w:pPr>
      <w:r>
        <w:rPr>
          <w:rFonts w:hint="eastAsia" w:asciiTheme="majorEastAsia" w:hAnsiTheme="majorEastAsia" w:eastAsiaTheme="majorEastAsia"/>
          <w:sz w:val="32"/>
          <w:szCs w:val="32"/>
        </w:rPr>
        <w:drawing>
          <wp:inline distT="0" distB="0" distL="0" distR="0">
            <wp:extent cx="7309485" cy="5318760"/>
            <wp:effectExtent l="19050" t="0" r="5545" b="0"/>
            <wp:docPr id="15"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true" noChangeArrowheads="true"/>
                    </pic:cNvPicPr>
                  </pic:nvPicPr>
                  <pic:blipFill>
                    <a:blip r:embed="rId13" cstate="print"/>
                    <a:srcRect/>
                    <a:stretch>
                      <a:fillRect/>
                    </a:stretch>
                  </pic:blipFill>
                  <pic:spPr>
                    <a:xfrm>
                      <a:off x="0" y="0"/>
                      <a:ext cx="7315941" cy="5323921"/>
                    </a:xfrm>
                    <a:prstGeom prst="rect">
                      <a:avLst/>
                    </a:prstGeom>
                    <a:noFill/>
                    <a:ln w="9525">
                      <a:noFill/>
                      <a:miter lim="800000"/>
                      <a:headEnd/>
                      <a:tailEnd/>
                    </a:ln>
                  </pic:spPr>
                </pic:pic>
              </a:graphicData>
            </a:graphic>
          </wp:inline>
        </w:drawing>
      </w: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b/>
          <w:bCs/>
          <w:sz w:val="32"/>
          <w:szCs w:val="32"/>
        </w:rPr>
        <w:t>第三部分 </w:t>
      </w:r>
      <w:r>
        <w:rPr>
          <w:rFonts w:hint="eastAsia" w:asciiTheme="majorEastAsia" w:hAnsiTheme="majorEastAsia" w:eastAsiaTheme="majorEastAsia"/>
          <w:sz w:val="32"/>
          <w:szCs w:val="32"/>
        </w:rPr>
        <w:t>武汉市洪山区发展和改革委员会</w:t>
      </w:r>
      <w:r>
        <w:rPr>
          <w:rFonts w:hint="eastAsia" w:asciiTheme="majorEastAsia" w:hAnsiTheme="majorEastAsia" w:eastAsiaTheme="majorEastAsia"/>
          <w:b/>
          <w:bCs/>
          <w:sz w:val="32"/>
          <w:szCs w:val="32"/>
        </w:rPr>
        <w:t>2018年度部               门决算情况说明</w:t>
      </w:r>
    </w:p>
    <w:p>
      <w:pPr>
        <w:snapToGrid w:val="0"/>
        <w:spacing w:before="100" w:beforeAutospacing="1" w:after="100" w:afterAutospacing="1"/>
        <w:rPr>
          <w:rFonts w:ascii="黑体" w:hAnsi="黑体" w:eastAsia="黑体"/>
          <w:sz w:val="32"/>
          <w:szCs w:val="32"/>
        </w:rPr>
      </w:pPr>
      <w:r>
        <w:rPr>
          <w:rFonts w:hint="eastAsia" w:asciiTheme="majorEastAsia" w:hAnsiTheme="majorEastAsia" w:eastAsiaTheme="majorEastAsia"/>
          <w:sz w:val="32"/>
          <w:szCs w:val="32"/>
        </w:rPr>
        <w:t xml:space="preserve">   </w:t>
      </w:r>
      <w:r>
        <w:rPr>
          <w:rFonts w:hint="eastAsia" w:ascii="黑体" w:hAnsi="黑体" w:eastAsia="黑体"/>
          <w:sz w:val="32"/>
          <w:szCs w:val="32"/>
        </w:rPr>
        <w:t xml:space="preserve"> 一、2018年度收入支出决算总体情况说明</w:t>
      </w:r>
    </w:p>
    <w:p>
      <w:pPr>
        <w:shd w:val="clear" w:color="auto" w:fill="FFFFFF"/>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2018年度收、支总计3481.15万元。与2017年相比，收、支总计各增加</w:t>
      </w:r>
      <w:r>
        <w:rPr>
          <w:rFonts w:hint="eastAsia" w:asciiTheme="majorEastAsia" w:hAnsiTheme="majorEastAsia" w:eastAsiaTheme="majorEastAsia"/>
          <w:sz w:val="32"/>
          <w:szCs w:val="32"/>
          <w:u w:val="single"/>
        </w:rPr>
        <w:t xml:space="preserve">   666.15  </w:t>
      </w:r>
      <w:r>
        <w:rPr>
          <w:rFonts w:hint="eastAsia" w:asciiTheme="majorEastAsia" w:hAnsiTheme="majorEastAsia" w:eastAsiaTheme="majorEastAsia"/>
          <w:sz w:val="32"/>
          <w:szCs w:val="32"/>
        </w:rPr>
        <w:t>万元，增长</w:t>
      </w:r>
      <w:r>
        <w:rPr>
          <w:rFonts w:hint="eastAsia" w:asciiTheme="majorEastAsia" w:hAnsiTheme="majorEastAsia" w:eastAsiaTheme="majorEastAsia"/>
          <w:sz w:val="32"/>
          <w:szCs w:val="32"/>
          <w:u w:val="single"/>
        </w:rPr>
        <w:t xml:space="preserve"> 23 </w:t>
      </w:r>
      <w:r>
        <w:rPr>
          <w:rFonts w:hint="eastAsia" w:asciiTheme="majorEastAsia" w:hAnsiTheme="majorEastAsia" w:eastAsiaTheme="majorEastAsia"/>
          <w:sz w:val="32"/>
          <w:szCs w:val="32"/>
        </w:rPr>
        <w:t>%，主要原因是1、对个人和家庭补助支出和工资福利支出的增加 2、项目经费的增加。</w:t>
      </w:r>
    </w:p>
    <w:p>
      <w:pPr>
        <w:snapToGrid w:val="0"/>
        <w:spacing w:before="100" w:beforeAutospacing="1" w:after="100" w:afterAutospacing="1"/>
        <w:ind w:firstLine="1280" w:firstLineChars="400"/>
        <w:rPr>
          <w:rFonts w:asciiTheme="majorEastAsia" w:hAnsiTheme="majorEastAsia" w:eastAsiaTheme="majorEastAsia"/>
          <w:sz w:val="32"/>
          <w:szCs w:val="32"/>
        </w:rPr>
      </w:pPr>
      <w:r>
        <w:rPr>
          <w:rFonts w:hint="eastAsia" w:asciiTheme="majorEastAsia" w:hAnsiTheme="majorEastAsia" w:eastAsiaTheme="majorEastAsia"/>
          <w:sz w:val="32"/>
          <w:szCs w:val="32"/>
        </w:rPr>
        <w:t>图1：收、支决算总计变动情况</w:t>
      </w:r>
    </w:p>
    <w:p>
      <w:pPr>
        <w:snapToGrid w:val="0"/>
        <w:spacing w:before="100" w:beforeAutospacing="1" w:after="100" w:afterAutospacing="1"/>
        <w:ind w:firstLine="1280" w:firstLineChars="400"/>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3868420" cy="3261995"/>
            <wp:effectExtent l="19050" t="0" r="0" b="0"/>
            <wp:docPr id="16"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true" noChangeArrowheads="true"/>
                    </pic:cNvPicPr>
                  </pic:nvPicPr>
                  <pic:blipFill>
                    <a:blip r:embed="rId14" cstate="print"/>
                    <a:srcRect/>
                    <a:stretch>
                      <a:fillRect/>
                    </a:stretch>
                  </pic:blipFill>
                  <pic:spPr>
                    <a:xfrm>
                      <a:off x="0" y="0"/>
                      <a:ext cx="3868420" cy="3261995"/>
                    </a:xfrm>
                    <a:prstGeom prst="rect">
                      <a:avLst/>
                    </a:prstGeom>
                    <a:noFill/>
                    <a:ln w="9525">
                      <a:noFill/>
                      <a:miter lim="800000"/>
                      <a:headEnd/>
                      <a:tailEnd/>
                    </a:ln>
                  </pic:spPr>
                </pic:pic>
              </a:graphicData>
            </a:graphic>
          </wp:inline>
        </w:drawing>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二、2018年度收入决算情况说明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2018年度本年收入合计3481.15万元。其中：财政拨款收入</w:t>
      </w:r>
      <w:r>
        <w:rPr>
          <w:rFonts w:hint="eastAsia" w:asciiTheme="majorEastAsia" w:hAnsiTheme="majorEastAsia" w:eastAsiaTheme="majorEastAsia"/>
          <w:sz w:val="32"/>
          <w:szCs w:val="32"/>
          <w:u w:val="single"/>
        </w:rPr>
        <w:t xml:space="preserve">  3381.15  </w:t>
      </w:r>
      <w:r>
        <w:rPr>
          <w:rFonts w:hint="eastAsia" w:asciiTheme="majorEastAsia" w:hAnsiTheme="majorEastAsia" w:eastAsiaTheme="majorEastAsia"/>
          <w:sz w:val="32"/>
          <w:szCs w:val="32"/>
        </w:rPr>
        <w:t>万元，占本年收入</w:t>
      </w:r>
      <w:r>
        <w:rPr>
          <w:rFonts w:hint="eastAsia" w:asciiTheme="majorEastAsia" w:hAnsiTheme="majorEastAsia" w:eastAsiaTheme="majorEastAsia"/>
          <w:sz w:val="32"/>
          <w:szCs w:val="32"/>
          <w:u w:val="single"/>
        </w:rPr>
        <w:t xml:space="preserve">  97  </w:t>
      </w:r>
      <w:r>
        <w:rPr>
          <w:rFonts w:hint="eastAsia" w:asciiTheme="majorEastAsia" w:hAnsiTheme="majorEastAsia" w:eastAsiaTheme="majorEastAsia"/>
          <w:sz w:val="32"/>
          <w:szCs w:val="32"/>
        </w:rPr>
        <w:t>%；上级补助收入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%；事业收入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万元，占本年收入0</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%；经营收入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%；附属单位上缴收入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万元，占本年收入</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%；其他收入</w:t>
      </w:r>
      <w:r>
        <w:rPr>
          <w:rFonts w:hint="eastAsia" w:asciiTheme="majorEastAsia" w:hAnsiTheme="majorEastAsia" w:eastAsiaTheme="majorEastAsia"/>
          <w:sz w:val="32"/>
          <w:szCs w:val="32"/>
          <w:u w:val="single"/>
        </w:rPr>
        <w:t xml:space="preserve">  100</w:t>
      </w:r>
      <w:r>
        <w:rPr>
          <w:rFonts w:hint="eastAsia" w:asciiTheme="majorEastAsia" w:hAnsiTheme="majorEastAsia" w:eastAsiaTheme="majorEastAsia"/>
          <w:sz w:val="32"/>
          <w:szCs w:val="32"/>
        </w:rPr>
        <w:t>万元，占本年收入</w:t>
      </w:r>
      <w:r>
        <w:rPr>
          <w:rFonts w:hint="eastAsia" w:asciiTheme="majorEastAsia" w:hAnsiTheme="majorEastAsia" w:eastAsiaTheme="majorEastAsia"/>
          <w:sz w:val="32"/>
          <w:szCs w:val="32"/>
          <w:u w:val="single"/>
        </w:rPr>
        <w:t xml:space="preserve">  3 </w:t>
      </w:r>
      <w:r>
        <w:rPr>
          <w:rFonts w:hint="eastAsia" w:asciiTheme="majorEastAsia" w:hAnsiTheme="majorEastAsia" w:eastAsiaTheme="majorEastAsia"/>
          <w:sz w:val="32"/>
          <w:szCs w:val="32"/>
        </w:rPr>
        <w:t>%。</w:t>
      </w:r>
    </w:p>
    <w:p>
      <w:pPr>
        <w:snapToGrid w:val="0"/>
        <w:spacing w:before="100" w:beforeAutospacing="1" w:after="100" w:afterAutospacing="1"/>
        <w:ind w:firstLine="1280" w:firstLineChars="400"/>
        <w:rPr>
          <w:rFonts w:asciiTheme="majorEastAsia" w:hAnsiTheme="majorEastAsia" w:eastAsiaTheme="majorEastAsia"/>
          <w:sz w:val="32"/>
          <w:szCs w:val="32"/>
        </w:rPr>
      </w:pPr>
      <w:r>
        <w:rPr>
          <w:rFonts w:hint="eastAsia" w:asciiTheme="majorEastAsia" w:hAnsiTheme="majorEastAsia" w:eastAsiaTheme="majorEastAsia"/>
          <w:sz w:val="32"/>
          <w:szCs w:val="32"/>
        </w:rPr>
        <w:t>图2：收入决算结构</w:t>
      </w:r>
    </w:p>
    <w:p>
      <w:pPr>
        <w:snapToGrid w:val="0"/>
        <w:spacing w:before="100" w:beforeAutospacing="1" w:after="100" w:afterAutospacing="1"/>
        <w:ind w:firstLine="1280" w:firstLineChars="400"/>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3429000" cy="3165475"/>
            <wp:effectExtent l="19050" t="0" r="0" b="0"/>
            <wp:docPr id="17"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true" noChangeArrowheads="true"/>
                    </pic:cNvPicPr>
                  </pic:nvPicPr>
                  <pic:blipFill>
                    <a:blip r:embed="rId15" cstate="print"/>
                    <a:srcRect/>
                    <a:stretch>
                      <a:fillRect/>
                    </a:stretch>
                  </pic:blipFill>
                  <pic:spPr>
                    <a:xfrm>
                      <a:off x="0" y="0"/>
                      <a:ext cx="3429000" cy="3165475"/>
                    </a:xfrm>
                    <a:prstGeom prst="rect">
                      <a:avLst/>
                    </a:prstGeom>
                    <a:noFill/>
                    <a:ln w="9525">
                      <a:noFill/>
                      <a:miter lim="800000"/>
                      <a:headEnd/>
                      <a:tailEnd/>
                    </a:ln>
                  </pic:spPr>
                </pic:pic>
              </a:graphicData>
            </a:graphic>
          </wp:inline>
        </w:drawing>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三、2018年度支出决算情况说明</w:t>
      </w:r>
    </w:p>
    <w:p>
      <w:pPr>
        <w:snapToGrid w:val="0"/>
        <w:spacing w:before="100" w:beforeAutospacing="1" w:after="100" w:afterAutospacing="1" w:line="580" w:lineRule="atLeast"/>
        <w:ind w:left="319" w:leftChars="133" w:firstLine="320" w:firstLineChars="100"/>
        <w:rPr>
          <w:rFonts w:asciiTheme="majorEastAsia" w:hAnsiTheme="majorEastAsia" w:eastAsiaTheme="majorEastAsia"/>
          <w:sz w:val="32"/>
          <w:szCs w:val="32"/>
        </w:rPr>
      </w:pPr>
      <w:r>
        <w:rPr>
          <w:rFonts w:hint="eastAsia" w:asciiTheme="majorEastAsia" w:hAnsiTheme="majorEastAsia" w:eastAsiaTheme="majorEastAsia"/>
          <w:sz w:val="32"/>
          <w:szCs w:val="32"/>
        </w:rPr>
        <w:t>2018年度本年支出合计</w:t>
      </w:r>
      <w:r>
        <w:rPr>
          <w:rFonts w:hint="eastAsia" w:asciiTheme="majorEastAsia" w:hAnsiTheme="majorEastAsia" w:eastAsiaTheme="majorEastAsia"/>
          <w:sz w:val="32"/>
          <w:szCs w:val="32"/>
          <w:u w:val="single"/>
        </w:rPr>
        <w:t xml:space="preserve">  3481.15     </w:t>
      </w:r>
      <w:r>
        <w:rPr>
          <w:rFonts w:hint="eastAsia" w:asciiTheme="majorEastAsia" w:hAnsiTheme="majorEastAsia" w:eastAsiaTheme="majorEastAsia"/>
          <w:sz w:val="32"/>
          <w:szCs w:val="32"/>
        </w:rPr>
        <w:t>万元。其中：  基本支出</w:t>
      </w:r>
      <w:r>
        <w:rPr>
          <w:rFonts w:hint="eastAsia" w:asciiTheme="majorEastAsia" w:hAnsiTheme="majorEastAsia" w:eastAsiaTheme="majorEastAsia"/>
          <w:sz w:val="32"/>
          <w:szCs w:val="32"/>
          <w:u w:val="single"/>
        </w:rPr>
        <w:t xml:space="preserve">  1602.72  </w:t>
      </w:r>
      <w:r>
        <w:rPr>
          <w:rFonts w:hint="eastAsia" w:asciiTheme="majorEastAsia" w:hAnsiTheme="majorEastAsia" w:eastAsiaTheme="majorEastAsia"/>
          <w:sz w:val="32"/>
          <w:szCs w:val="32"/>
        </w:rPr>
        <w:t>万元，占本年支出</w:t>
      </w:r>
      <w:r>
        <w:rPr>
          <w:rFonts w:hint="eastAsia" w:asciiTheme="majorEastAsia" w:hAnsiTheme="majorEastAsia" w:eastAsiaTheme="majorEastAsia"/>
          <w:sz w:val="32"/>
          <w:szCs w:val="32"/>
          <w:u w:val="single"/>
        </w:rPr>
        <w:t xml:space="preserve">  46  </w:t>
      </w:r>
      <w:r>
        <w:rPr>
          <w:rFonts w:hint="eastAsia" w:asciiTheme="majorEastAsia" w:hAnsiTheme="majorEastAsia" w:eastAsiaTheme="majorEastAsia"/>
          <w:sz w:val="32"/>
          <w:szCs w:val="32"/>
        </w:rPr>
        <w:t>%；项目支出</w:t>
      </w:r>
      <w:r>
        <w:rPr>
          <w:rFonts w:hint="eastAsia" w:asciiTheme="majorEastAsia" w:hAnsiTheme="majorEastAsia" w:eastAsiaTheme="majorEastAsia"/>
          <w:sz w:val="32"/>
          <w:szCs w:val="32"/>
          <w:u w:val="single"/>
        </w:rPr>
        <w:t xml:space="preserve">  1878.43 </w:t>
      </w:r>
      <w:r>
        <w:rPr>
          <w:rFonts w:hint="eastAsia" w:asciiTheme="majorEastAsia" w:hAnsiTheme="majorEastAsia" w:eastAsiaTheme="majorEastAsia"/>
          <w:sz w:val="32"/>
          <w:szCs w:val="32"/>
        </w:rPr>
        <w:t>万元，占本年支出</w:t>
      </w:r>
      <w:r>
        <w:rPr>
          <w:rFonts w:hint="eastAsia" w:asciiTheme="majorEastAsia" w:hAnsiTheme="majorEastAsia" w:eastAsiaTheme="majorEastAsia"/>
          <w:sz w:val="32"/>
          <w:szCs w:val="32"/>
          <w:u w:val="single"/>
        </w:rPr>
        <w:t xml:space="preserve">  54   </w:t>
      </w:r>
      <w:r>
        <w:rPr>
          <w:rFonts w:hint="eastAsia" w:asciiTheme="majorEastAsia" w:hAnsiTheme="majorEastAsia" w:eastAsiaTheme="majorEastAsia"/>
          <w:sz w:val="32"/>
          <w:szCs w:val="32"/>
        </w:rPr>
        <w:t>%；上缴上级支出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%；经营支出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%；对附属单位补助支出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万元，占本年支出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w:t>
      </w:r>
    </w:p>
    <w:p>
      <w:pPr>
        <w:snapToGrid w:val="0"/>
        <w:spacing w:before="100" w:beforeAutospacing="1" w:after="100" w:afterAutospacing="1"/>
        <w:ind w:firstLine="1280" w:firstLineChars="400"/>
        <w:rPr>
          <w:rFonts w:asciiTheme="majorEastAsia" w:hAnsiTheme="majorEastAsia" w:eastAsiaTheme="majorEastAsia"/>
          <w:sz w:val="32"/>
          <w:szCs w:val="32"/>
        </w:rPr>
      </w:pPr>
    </w:p>
    <w:p>
      <w:pPr>
        <w:snapToGrid w:val="0"/>
        <w:spacing w:before="100" w:beforeAutospacing="1" w:after="100" w:afterAutospacing="1"/>
        <w:ind w:firstLine="1280" w:firstLineChars="400"/>
        <w:rPr>
          <w:rFonts w:asciiTheme="majorEastAsia" w:hAnsiTheme="majorEastAsia" w:eastAsiaTheme="majorEastAsia"/>
          <w:sz w:val="32"/>
          <w:szCs w:val="32"/>
        </w:rPr>
      </w:pP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图3：支出决算结构</w:t>
      </w:r>
    </w:p>
    <w:p>
      <w:pPr>
        <w:snapToGrid w:val="0"/>
        <w:spacing w:before="100" w:beforeAutospacing="1" w:after="100" w:afterAutospacing="1"/>
        <w:ind w:firstLine="1280" w:firstLineChars="400"/>
        <w:rPr>
          <w:rFonts w:asciiTheme="majorEastAsia" w:hAnsiTheme="majorEastAsia" w:eastAsiaTheme="majorEastAsia"/>
          <w:sz w:val="32"/>
          <w:szCs w:val="32"/>
        </w:rPr>
      </w:pPr>
      <w:r>
        <w:rPr>
          <w:rFonts w:asciiTheme="majorEastAsia" w:hAnsiTheme="majorEastAsia" w:eastAsiaTheme="majorEastAsia"/>
          <w:sz w:val="32"/>
          <w:szCs w:val="32"/>
        </w:rPr>
        <w:drawing>
          <wp:inline distT="0" distB="0" distL="0" distR="0">
            <wp:extent cx="4290695" cy="2769870"/>
            <wp:effectExtent l="19050" t="0" r="0" b="0"/>
            <wp:docPr id="18"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true" noChangeArrowheads="true"/>
                    </pic:cNvPicPr>
                  </pic:nvPicPr>
                  <pic:blipFill>
                    <a:blip r:embed="rId16" cstate="print"/>
                    <a:srcRect/>
                    <a:stretch>
                      <a:fillRect/>
                    </a:stretch>
                  </pic:blipFill>
                  <pic:spPr>
                    <a:xfrm>
                      <a:off x="0" y="0"/>
                      <a:ext cx="4290695" cy="2769870"/>
                    </a:xfrm>
                    <a:prstGeom prst="rect">
                      <a:avLst/>
                    </a:prstGeom>
                    <a:noFill/>
                    <a:ln w="9525">
                      <a:noFill/>
                      <a:miter lim="800000"/>
                      <a:headEnd/>
                      <a:tailEnd/>
                    </a:ln>
                  </pic:spPr>
                </pic:pic>
              </a:graphicData>
            </a:graphic>
          </wp:inline>
        </w:drawing>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四、2018年度财政拨款收入支出决算总体情况说明</w:t>
      </w: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r>
        <w:rPr>
          <w:rFonts w:hint="eastAsia" w:asciiTheme="majorEastAsia" w:hAnsiTheme="majorEastAsia" w:eastAsiaTheme="majorEastAsia"/>
          <w:sz w:val="32"/>
          <w:szCs w:val="32"/>
        </w:rPr>
        <w:t>2018年度财政拨款收、支总计</w:t>
      </w:r>
      <w:r>
        <w:rPr>
          <w:rFonts w:hint="eastAsia" w:asciiTheme="majorEastAsia" w:hAnsiTheme="majorEastAsia" w:eastAsiaTheme="majorEastAsia"/>
          <w:sz w:val="32"/>
          <w:szCs w:val="32"/>
          <w:u w:val="single"/>
        </w:rPr>
        <w:t xml:space="preserve">  3381.15   </w:t>
      </w:r>
      <w:r>
        <w:rPr>
          <w:rFonts w:hint="eastAsia" w:asciiTheme="majorEastAsia" w:hAnsiTheme="majorEastAsia" w:eastAsiaTheme="majorEastAsia"/>
          <w:sz w:val="32"/>
          <w:szCs w:val="32"/>
        </w:rPr>
        <w:t>万元。与2017年相比，财政拨款收、支总计各增加</w:t>
      </w:r>
      <w:r>
        <w:rPr>
          <w:rFonts w:hint="eastAsia" w:asciiTheme="majorEastAsia" w:hAnsiTheme="majorEastAsia" w:eastAsiaTheme="majorEastAsia"/>
          <w:sz w:val="32"/>
          <w:szCs w:val="32"/>
          <w:u w:val="single"/>
        </w:rPr>
        <w:t xml:space="preserve">  566.15  </w:t>
      </w:r>
      <w:r>
        <w:rPr>
          <w:rFonts w:hint="eastAsia" w:asciiTheme="majorEastAsia" w:hAnsiTheme="majorEastAsia" w:eastAsiaTheme="majorEastAsia"/>
          <w:sz w:val="32"/>
          <w:szCs w:val="32"/>
        </w:rPr>
        <w:t>万元，增长</w:t>
      </w:r>
      <w:r>
        <w:rPr>
          <w:rFonts w:hint="eastAsia" w:asciiTheme="majorEastAsia" w:hAnsiTheme="majorEastAsia" w:eastAsiaTheme="majorEastAsia"/>
          <w:sz w:val="32"/>
          <w:szCs w:val="32"/>
          <w:u w:val="single"/>
        </w:rPr>
        <w:t xml:space="preserve">  20</w:t>
      </w:r>
      <w:r>
        <w:rPr>
          <w:rFonts w:hint="eastAsia" w:asciiTheme="majorEastAsia" w:hAnsiTheme="majorEastAsia" w:eastAsiaTheme="majorEastAsia"/>
          <w:sz w:val="32"/>
          <w:szCs w:val="32"/>
        </w:rPr>
        <w:t>%。主要原因是1、</w:t>
      </w:r>
      <w:r>
        <w:rPr>
          <w:rFonts w:hint="eastAsia" w:asciiTheme="majorEastAsia" w:hAnsiTheme="majorEastAsia" w:eastAsiaTheme="majorEastAsia"/>
          <w:bCs/>
          <w:sz w:val="32"/>
          <w:szCs w:val="32"/>
          <w:u w:val="single"/>
        </w:rPr>
        <w:t>对个人和家庭补助支出和工资福利支出的增加</w:t>
      </w:r>
      <w:r>
        <w:rPr>
          <w:rFonts w:hint="eastAsia" w:asciiTheme="majorEastAsia" w:hAnsiTheme="majorEastAsia" w:eastAsiaTheme="majorEastAsia"/>
          <w:color w:val="333333"/>
          <w:sz w:val="32"/>
          <w:szCs w:val="32"/>
          <w:u w:val="single"/>
        </w:rPr>
        <w:t xml:space="preserve"> 2、项目经费的增加</w:t>
      </w:r>
      <w:r>
        <w:rPr>
          <w:rFonts w:hint="eastAsia" w:asciiTheme="majorEastAsia" w:hAnsiTheme="majorEastAsia" w:eastAsiaTheme="majorEastAsia"/>
          <w:color w:val="333333"/>
          <w:sz w:val="32"/>
          <w:szCs w:val="32"/>
        </w:rPr>
        <w:t>。</w:t>
      </w: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p>
    <w:p>
      <w:pPr>
        <w:shd w:val="clear" w:color="auto" w:fill="FFFFFF"/>
        <w:spacing w:before="100" w:beforeAutospacing="1" w:after="100" w:afterAutospacing="1" w:line="580" w:lineRule="atLeast"/>
        <w:ind w:firstLine="640"/>
        <w:rPr>
          <w:rFonts w:asciiTheme="majorEastAsia" w:hAnsiTheme="majorEastAsia" w:eastAsiaTheme="majorEastAsia"/>
          <w:color w:val="333333"/>
          <w:sz w:val="32"/>
          <w:szCs w:val="32"/>
          <w:u w:val="single"/>
        </w:rPr>
      </w:pPr>
    </w:p>
    <w:p>
      <w:pPr>
        <w:shd w:val="clear" w:color="auto" w:fill="FFFFFF"/>
        <w:spacing w:before="100" w:beforeAutospacing="1" w:after="100" w:afterAutospacing="1" w:line="580" w:lineRule="atLeast"/>
        <w:jc w:val="center"/>
        <w:rPr>
          <w:rFonts w:asciiTheme="majorEastAsia" w:hAnsiTheme="majorEastAsia" w:eastAsiaTheme="majorEastAsia"/>
          <w:color w:val="333333"/>
          <w:sz w:val="32"/>
          <w:szCs w:val="32"/>
          <w:u w:val="single"/>
        </w:rPr>
      </w:pPr>
      <w:r>
        <w:rPr>
          <w:rFonts w:hint="eastAsia" w:asciiTheme="majorEastAsia" w:hAnsiTheme="majorEastAsia" w:eastAsiaTheme="majorEastAsia"/>
          <w:sz w:val="32"/>
          <w:szCs w:val="32"/>
        </w:rPr>
        <w:t>图4：财政拨款收、支决算总计变动情况</w:t>
      </w:r>
    </w:p>
    <w:p>
      <w:pPr>
        <w:snapToGrid w:val="0"/>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sz w:val="32"/>
          <w:szCs w:val="32"/>
        </w:rPr>
        <w:drawing>
          <wp:inline distT="0" distB="0" distL="0" distR="0">
            <wp:extent cx="3806825" cy="2866390"/>
            <wp:effectExtent l="19050" t="0" r="3175" b="0"/>
            <wp:docPr id="21"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true" noChangeArrowheads="true"/>
                    </pic:cNvPicPr>
                  </pic:nvPicPr>
                  <pic:blipFill>
                    <a:blip r:embed="rId17" cstate="print"/>
                    <a:srcRect/>
                    <a:stretch>
                      <a:fillRect/>
                    </a:stretch>
                  </pic:blipFill>
                  <pic:spPr>
                    <a:xfrm>
                      <a:off x="0" y="0"/>
                      <a:ext cx="3806825" cy="2866390"/>
                    </a:xfrm>
                    <a:prstGeom prst="rect">
                      <a:avLst/>
                    </a:prstGeom>
                    <a:noFill/>
                    <a:ln w="9525">
                      <a:noFill/>
                      <a:miter lim="800000"/>
                      <a:headEnd/>
                      <a:tailEnd/>
                    </a:ln>
                  </pic:spPr>
                </pic:pic>
              </a:graphicData>
            </a:graphic>
          </wp:inline>
        </w:drawing>
      </w:r>
    </w:p>
    <w:p>
      <w:pPr>
        <w:snapToGrid w:val="0"/>
        <w:spacing w:before="100" w:beforeAutospacing="1" w:after="100" w:afterAutospacing="1" w:line="580" w:lineRule="atLeast"/>
        <w:rPr>
          <w:rFonts w:ascii="黑体" w:hAnsi="黑体" w:eastAsia="黑体"/>
          <w:sz w:val="32"/>
          <w:szCs w:val="32"/>
        </w:rPr>
      </w:pPr>
      <w:r>
        <w:rPr>
          <w:rFonts w:hint="eastAsia" w:asciiTheme="majorEastAsia" w:hAnsiTheme="majorEastAsia" w:eastAsiaTheme="majorEastAsia"/>
          <w:sz w:val="32"/>
          <w:szCs w:val="32"/>
        </w:rPr>
        <w:t xml:space="preserve">  </w:t>
      </w:r>
      <w:r>
        <w:rPr>
          <w:rFonts w:hint="eastAsia" w:ascii="黑体" w:hAnsi="黑体" w:eastAsia="黑体"/>
          <w:sz w:val="32"/>
          <w:szCs w:val="32"/>
        </w:rPr>
        <w:t>五、2018年度一般公共预算财政拨款支出决算情况说明</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（一）财政拨款支出决算总体情况。</w:t>
      </w:r>
    </w:p>
    <w:p>
      <w:pPr>
        <w:shd w:val="clear" w:color="auto" w:fill="FFFFFF"/>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2018年度财政拨款支出</w:t>
      </w:r>
      <w:r>
        <w:rPr>
          <w:rFonts w:hint="eastAsia" w:asciiTheme="majorEastAsia" w:hAnsiTheme="majorEastAsia" w:eastAsiaTheme="majorEastAsia"/>
          <w:sz w:val="32"/>
          <w:szCs w:val="32"/>
          <w:u w:val="single"/>
        </w:rPr>
        <w:t xml:space="preserve">  3381.15   </w:t>
      </w:r>
      <w:r>
        <w:rPr>
          <w:rFonts w:hint="eastAsia" w:asciiTheme="majorEastAsia" w:hAnsiTheme="majorEastAsia" w:eastAsiaTheme="majorEastAsia"/>
          <w:sz w:val="32"/>
          <w:szCs w:val="32"/>
        </w:rPr>
        <w:t>万元，占本年支出合计的</w:t>
      </w:r>
      <w:r>
        <w:rPr>
          <w:rFonts w:hint="eastAsia" w:asciiTheme="majorEastAsia" w:hAnsiTheme="majorEastAsia" w:eastAsiaTheme="majorEastAsia"/>
          <w:sz w:val="32"/>
          <w:szCs w:val="32"/>
          <w:u w:val="single"/>
        </w:rPr>
        <w:t xml:space="preserve"> 100   </w:t>
      </w:r>
      <w:r>
        <w:rPr>
          <w:rFonts w:hint="eastAsia" w:asciiTheme="majorEastAsia" w:hAnsiTheme="majorEastAsia" w:eastAsiaTheme="majorEastAsia"/>
          <w:sz w:val="32"/>
          <w:szCs w:val="32"/>
        </w:rPr>
        <w:t xml:space="preserve">%。与2017年相比，财政拨款支出增加 </w:t>
      </w:r>
      <w:r>
        <w:rPr>
          <w:rFonts w:hint="eastAsia" w:asciiTheme="majorEastAsia" w:hAnsiTheme="majorEastAsia" w:eastAsiaTheme="majorEastAsia"/>
          <w:sz w:val="32"/>
          <w:szCs w:val="32"/>
          <w:u w:val="single"/>
        </w:rPr>
        <w:t xml:space="preserve">     566.15</w:t>
      </w:r>
      <w:r>
        <w:rPr>
          <w:rFonts w:hint="eastAsia" w:asciiTheme="majorEastAsia" w:hAnsiTheme="majorEastAsia" w:eastAsiaTheme="majorEastAsia"/>
          <w:sz w:val="32"/>
          <w:szCs w:val="32"/>
        </w:rPr>
        <w:t>万元，增长</w:t>
      </w:r>
      <w:r>
        <w:rPr>
          <w:rFonts w:hint="eastAsia" w:asciiTheme="majorEastAsia" w:hAnsiTheme="majorEastAsia" w:eastAsiaTheme="majorEastAsia"/>
          <w:sz w:val="32"/>
          <w:szCs w:val="32"/>
          <w:u w:val="single"/>
        </w:rPr>
        <w:t xml:space="preserve">  20  </w:t>
      </w:r>
      <w:r>
        <w:rPr>
          <w:rFonts w:hint="eastAsia" w:asciiTheme="majorEastAsia" w:hAnsiTheme="majorEastAsia" w:eastAsiaTheme="majorEastAsia"/>
          <w:sz w:val="32"/>
          <w:szCs w:val="32"/>
        </w:rPr>
        <w:t>%。主要原因是1、对个人和家庭补助支出和工资福利支出的增加 2、项目经费的增加。</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（二）财政拨款支出决算结构情况。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2018年度财政拨款支出</w:t>
      </w:r>
      <w:r>
        <w:rPr>
          <w:rFonts w:hint="eastAsia" w:asciiTheme="majorEastAsia" w:hAnsiTheme="majorEastAsia" w:eastAsiaTheme="majorEastAsia"/>
          <w:sz w:val="32"/>
          <w:szCs w:val="32"/>
          <w:u w:val="single"/>
        </w:rPr>
        <w:t xml:space="preserve"> 3381.15 </w:t>
      </w:r>
      <w:r>
        <w:rPr>
          <w:rFonts w:hint="eastAsia" w:asciiTheme="majorEastAsia" w:hAnsiTheme="majorEastAsia" w:eastAsiaTheme="majorEastAsia"/>
          <w:sz w:val="32"/>
          <w:szCs w:val="32"/>
        </w:rPr>
        <w:t>万元，主要用于以下方面：一般公共服务（类）支出</w:t>
      </w:r>
      <w:r>
        <w:rPr>
          <w:rFonts w:hint="eastAsia" w:asciiTheme="majorEastAsia" w:hAnsiTheme="majorEastAsia" w:eastAsiaTheme="majorEastAsia"/>
          <w:sz w:val="32"/>
          <w:szCs w:val="32"/>
          <w:u w:val="single"/>
        </w:rPr>
        <w:t xml:space="preserve"> 2150.60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63.6 </w:t>
      </w:r>
      <w:r>
        <w:rPr>
          <w:rFonts w:hint="eastAsia" w:asciiTheme="majorEastAsia" w:hAnsiTheme="majorEastAsia" w:eastAsiaTheme="majorEastAsia"/>
          <w:sz w:val="32"/>
          <w:szCs w:val="32"/>
        </w:rPr>
        <w:t>%；国防支出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%；公共安全支出</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%；教育支出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%；科学技术支出</w:t>
      </w:r>
      <w:r>
        <w:rPr>
          <w:rFonts w:hint="eastAsia" w:asciiTheme="majorEastAsia" w:hAnsiTheme="majorEastAsia" w:eastAsiaTheme="majorEastAsia"/>
          <w:sz w:val="32"/>
          <w:szCs w:val="32"/>
          <w:u w:val="single"/>
        </w:rPr>
        <w:t xml:space="preserve"> 536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15.85 </w:t>
      </w:r>
      <w:r>
        <w:rPr>
          <w:rFonts w:hint="eastAsia" w:asciiTheme="majorEastAsia" w:hAnsiTheme="majorEastAsia" w:eastAsiaTheme="majorEastAsia"/>
          <w:sz w:val="32"/>
          <w:szCs w:val="32"/>
        </w:rPr>
        <w:t>%；文化体育与传媒支出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%；社会保障和就业支出</w:t>
      </w:r>
      <w:r>
        <w:rPr>
          <w:rFonts w:hint="eastAsia" w:asciiTheme="majorEastAsia" w:hAnsiTheme="majorEastAsia" w:eastAsiaTheme="majorEastAsia"/>
          <w:sz w:val="32"/>
          <w:szCs w:val="32"/>
          <w:u w:val="single"/>
        </w:rPr>
        <w:t xml:space="preserve"> 156.54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4.63 </w:t>
      </w:r>
      <w:r>
        <w:rPr>
          <w:rFonts w:hint="eastAsia" w:asciiTheme="majorEastAsia" w:hAnsiTheme="majorEastAsia" w:eastAsiaTheme="majorEastAsia"/>
          <w:sz w:val="32"/>
          <w:szCs w:val="32"/>
        </w:rPr>
        <w:t>%；医疗卫生与计划生育支出</w:t>
      </w:r>
      <w:r>
        <w:rPr>
          <w:rFonts w:hint="eastAsia" w:asciiTheme="majorEastAsia" w:hAnsiTheme="majorEastAsia" w:eastAsiaTheme="majorEastAsia"/>
          <w:sz w:val="32"/>
          <w:szCs w:val="32"/>
          <w:u w:val="single"/>
        </w:rPr>
        <w:t xml:space="preserve">  54.27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1.61  </w:t>
      </w:r>
      <w:r>
        <w:rPr>
          <w:rFonts w:hint="eastAsia" w:asciiTheme="majorEastAsia" w:hAnsiTheme="majorEastAsia" w:eastAsiaTheme="majorEastAsia"/>
          <w:sz w:val="32"/>
          <w:szCs w:val="32"/>
        </w:rPr>
        <w:t>%；节能环保支 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%；城乡社区支出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%；农林水支出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%；交通运输支出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%；资源勘探信息等支出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%；商业服务业等支出</w:t>
      </w:r>
      <w:r>
        <w:rPr>
          <w:rFonts w:hint="eastAsia" w:asciiTheme="majorEastAsia" w:hAnsiTheme="majorEastAsia" w:eastAsiaTheme="majorEastAsia"/>
          <w:sz w:val="32"/>
          <w:szCs w:val="32"/>
          <w:u w:val="single"/>
        </w:rPr>
        <w:t xml:space="preserve">    115</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3.4  </w:t>
      </w:r>
      <w:r>
        <w:rPr>
          <w:rFonts w:hint="eastAsia" w:asciiTheme="majorEastAsia" w:hAnsiTheme="majorEastAsia" w:eastAsiaTheme="majorEastAsia"/>
          <w:sz w:val="32"/>
          <w:szCs w:val="32"/>
        </w:rPr>
        <w:t>%；援助其他地区支出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%；国土海洋气象等支 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%；住房保障支出</w:t>
      </w:r>
      <w:r>
        <w:rPr>
          <w:rFonts w:hint="eastAsia" w:asciiTheme="majorEastAsia" w:hAnsiTheme="majorEastAsia" w:eastAsiaTheme="majorEastAsia"/>
          <w:sz w:val="32"/>
          <w:szCs w:val="32"/>
          <w:u w:val="single"/>
        </w:rPr>
        <w:t xml:space="preserve">  156.41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4.63 </w:t>
      </w:r>
      <w:r>
        <w:rPr>
          <w:rFonts w:hint="eastAsia" w:asciiTheme="majorEastAsia" w:hAnsiTheme="majorEastAsia" w:eastAsiaTheme="majorEastAsia"/>
          <w:sz w:val="32"/>
          <w:szCs w:val="32"/>
        </w:rPr>
        <w:t>%；粮油物资储备支出</w:t>
      </w:r>
      <w:r>
        <w:rPr>
          <w:rFonts w:hint="eastAsia" w:asciiTheme="majorEastAsia" w:hAnsiTheme="majorEastAsia" w:eastAsiaTheme="majorEastAsia"/>
          <w:sz w:val="32"/>
          <w:szCs w:val="32"/>
          <w:u w:val="single"/>
        </w:rPr>
        <w:t xml:space="preserve">    212.34</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6.28   </w:t>
      </w:r>
      <w:r>
        <w:rPr>
          <w:rFonts w:hint="eastAsia" w:asciiTheme="majorEastAsia" w:hAnsiTheme="majorEastAsia" w:eastAsiaTheme="majorEastAsia"/>
          <w:sz w:val="32"/>
          <w:szCs w:val="32"/>
        </w:rPr>
        <w:t>%；其他支出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w:t>
      </w:r>
      <w:r>
        <w:rPr>
          <w:rFonts w:hint="eastAsia" w:asciiTheme="majorEastAsia" w:hAnsiTheme="majorEastAsia" w:eastAsiaTheme="majorEastAsia"/>
          <w:sz w:val="32"/>
          <w:szCs w:val="32"/>
        </w:rPr>
        <w:t>%；债务付息支出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（三）财政拨款支出决算具体情况。</w:t>
      </w:r>
    </w:p>
    <w:p>
      <w:pPr>
        <w:snapToGrid w:val="0"/>
        <w:spacing w:before="100" w:beforeAutospacing="1" w:after="100" w:afterAutospacing="1" w:line="580" w:lineRule="atLeast"/>
        <w:ind w:firstLine="640"/>
        <w:jc w:val="both"/>
        <w:rPr>
          <w:rFonts w:asciiTheme="majorEastAsia" w:hAnsiTheme="majorEastAsia" w:eastAsiaTheme="majorEastAsia"/>
          <w:sz w:val="32"/>
          <w:szCs w:val="32"/>
        </w:rPr>
      </w:pPr>
      <w:r>
        <w:rPr>
          <w:rFonts w:hint="eastAsia" w:asciiTheme="majorEastAsia" w:hAnsiTheme="majorEastAsia" w:eastAsiaTheme="majorEastAsia"/>
          <w:sz w:val="32"/>
          <w:szCs w:val="32"/>
        </w:rPr>
        <w:t>2018年一般公共预算财政拨款支出年初预算为</w:t>
      </w:r>
      <w:r>
        <w:rPr>
          <w:rFonts w:hint="eastAsia" w:asciiTheme="majorEastAsia" w:hAnsiTheme="majorEastAsia" w:eastAsiaTheme="majorEastAsia"/>
          <w:sz w:val="32"/>
          <w:szCs w:val="32"/>
          <w:u w:val="single"/>
        </w:rPr>
        <w:t xml:space="preserve"> 3011.48 </w:t>
      </w:r>
      <w:r>
        <w:rPr>
          <w:rFonts w:hint="eastAsia" w:asciiTheme="majorEastAsia" w:hAnsiTheme="majorEastAsia" w:eastAsiaTheme="majorEastAsia"/>
          <w:sz w:val="32"/>
          <w:szCs w:val="32"/>
        </w:rPr>
        <w:t>万元(包括年初部门预算、基本建设等专项资金、上级下达的专项转移支付资金及年初结转和结余资金等)，支出决算为</w:t>
      </w:r>
      <w:r>
        <w:rPr>
          <w:rFonts w:hint="eastAsia" w:asciiTheme="majorEastAsia" w:hAnsiTheme="majorEastAsia" w:eastAsiaTheme="majorEastAsia"/>
          <w:sz w:val="32"/>
          <w:szCs w:val="32"/>
          <w:u w:val="single"/>
        </w:rPr>
        <w:t xml:space="preserve"> 3381.15 </w:t>
      </w:r>
      <w:r>
        <w:rPr>
          <w:rFonts w:hint="eastAsia" w:asciiTheme="majorEastAsia" w:hAnsiTheme="majorEastAsia" w:eastAsiaTheme="majorEastAsia"/>
          <w:sz w:val="32"/>
          <w:szCs w:val="32"/>
        </w:rPr>
        <w:t>万元，完成年初预算的</w:t>
      </w:r>
      <w:r>
        <w:rPr>
          <w:rFonts w:hint="eastAsia" w:asciiTheme="majorEastAsia" w:hAnsiTheme="majorEastAsia" w:eastAsiaTheme="majorEastAsia"/>
          <w:sz w:val="32"/>
          <w:szCs w:val="32"/>
          <w:u w:val="single"/>
        </w:rPr>
        <w:t xml:space="preserve">  100   </w:t>
      </w:r>
      <w:r>
        <w:rPr>
          <w:rFonts w:hint="eastAsia" w:asciiTheme="majorEastAsia" w:hAnsiTheme="majorEastAsia" w:eastAsiaTheme="majorEastAsia"/>
          <w:sz w:val="32"/>
          <w:szCs w:val="32"/>
        </w:rPr>
        <w:t>%。其中：基本支出</w:t>
      </w:r>
      <w:r>
        <w:rPr>
          <w:rFonts w:hint="eastAsia" w:asciiTheme="majorEastAsia" w:hAnsiTheme="majorEastAsia" w:eastAsiaTheme="majorEastAsia"/>
          <w:sz w:val="32"/>
          <w:szCs w:val="32"/>
          <w:u w:val="single"/>
        </w:rPr>
        <w:t xml:space="preserve"> 1602.72 </w:t>
      </w:r>
      <w:r>
        <w:rPr>
          <w:rFonts w:hint="eastAsia" w:asciiTheme="majorEastAsia" w:hAnsiTheme="majorEastAsia" w:eastAsiaTheme="majorEastAsia"/>
          <w:sz w:val="32"/>
          <w:szCs w:val="32"/>
        </w:rPr>
        <w:t>万元，项目支出</w:t>
      </w:r>
      <w:r>
        <w:rPr>
          <w:rFonts w:hint="eastAsia" w:asciiTheme="majorEastAsia" w:hAnsiTheme="majorEastAsia" w:eastAsiaTheme="majorEastAsia"/>
          <w:sz w:val="32"/>
          <w:szCs w:val="32"/>
          <w:u w:val="single"/>
        </w:rPr>
        <w:t xml:space="preserve"> 1778.43 </w:t>
      </w:r>
      <w:r>
        <w:rPr>
          <w:rFonts w:hint="eastAsia" w:asciiTheme="majorEastAsia" w:hAnsiTheme="majorEastAsia" w:eastAsiaTheme="majorEastAsia"/>
          <w:sz w:val="32"/>
          <w:szCs w:val="32"/>
        </w:rPr>
        <w:t>万元。项目支出主要用于项目名称1778.43万元，主要成效：</w:t>
      </w:r>
    </w:p>
    <w:p>
      <w:pPr>
        <w:snapToGrid w:val="0"/>
        <w:spacing w:before="100" w:beforeAutospacing="1" w:after="100" w:afterAutospacing="1" w:line="580" w:lineRule="atLeast"/>
        <w:ind w:firstLine="640"/>
        <w:rPr>
          <w:rFonts w:asciiTheme="majorEastAsia" w:hAnsiTheme="majorEastAsia" w:eastAsiaTheme="majorEastAsia"/>
          <w:color w:val="333333"/>
          <w:sz w:val="32"/>
          <w:szCs w:val="32"/>
        </w:rPr>
      </w:pPr>
      <w:r>
        <w:rPr>
          <w:rFonts w:hint="eastAsia" w:asciiTheme="majorEastAsia" w:hAnsiTheme="majorEastAsia" w:eastAsiaTheme="majorEastAsia"/>
          <w:color w:val="333333"/>
          <w:sz w:val="32"/>
          <w:szCs w:val="32"/>
        </w:rPr>
        <w:t>1、一般行政管理事务 188.88万元（</w:t>
      </w:r>
      <w:r>
        <w:rPr>
          <w:rFonts w:hint="eastAsia" w:asciiTheme="majorEastAsia" w:hAnsiTheme="majorEastAsia" w:eastAsiaTheme="majorEastAsia"/>
          <w:color w:val="333333"/>
          <w:sz w:val="32"/>
          <w:szCs w:val="32"/>
          <w:lang w:eastAsia="zh-CN"/>
        </w:rPr>
        <w:t>“</w:t>
      </w:r>
      <w:r>
        <w:rPr>
          <w:rFonts w:hint="eastAsia" w:asciiTheme="majorEastAsia" w:hAnsiTheme="majorEastAsia" w:eastAsiaTheme="majorEastAsia"/>
          <w:color w:val="333333"/>
          <w:sz w:val="32"/>
          <w:szCs w:val="32"/>
        </w:rPr>
        <w:t>十三五</w:t>
      </w:r>
      <w:r>
        <w:rPr>
          <w:rFonts w:hint="eastAsia" w:asciiTheme="majorEastAsia" w:hAnsiTheme="majorEastAsia" w:eastAsiaTheme="majorEastAsia"/>
          <w:color w:val="333333"/>
          <w:sz w:val="32"/>
          <w:szCs w:val="32"/>
          <w:lang w:eastAsia="zh-CN"/>
        </w:rPr>
        <w:t>”</w:t>
      </w:r>
      <w:r>
        <w:rPr>
          <w:rFonts w:hint="eastAsia" w:asciiTheme="majorEastAsia" w:hAnsiTheme="majorEastAsia" w:eastAsiaTheme="majorEastAsia"/>
          <w:color w:val="333333"/>
          <w:sz w:val="32"/>
          <w:szCs w:val="32"/>
        </w:rPr>
        <w:t>规划中期评估20万元、区域发展规划工作经费4万元、综合经济运行监测预警工作经费2万元、重点项目专项协调推动经费5万元、固定资产投资工作经费4万元、全区节能降耗工作经费5万元、后勤保障经费13.77万元、市级档案达标工作经费3万元、七五普法工作经费1万元、维稳工作专项经费4万元、区级扶贫工作经费25万元、党建工作经费3万元、聘请法律顾问3万元、文明创建工作经费4万元、对口援疆工作经费6万元、帮扶资金57.60万元、精准扶贫工作经费8万元、购买劳务支出20.51万元）</w:t>
      </w:r>
      <w:r>
        <w:rPr>
          <w:rFonts w:hint="eastAsia" w:asciiTheme="majorEastAsia" w:hAnsiTheme="majorEastAsia" w:eastAsiaTheme="majorEastAsia"/>
          <w:color w:val="000000"/>
          <w:sz w:val="32"/>
          <w:szCs w:val="32"/>
        </w:rPr>
        <w:t>主要成效:</w:t>
      </w:r>
      <w:r>
        <w:rPr>
          <w:rFonts w:hint="eastAsia" w:asciiTheme="majorEastAsia" w:hAnsiTheme="majorEastAsia" w:eastAsiaTheme="majorEastAsia"/>
          <w:sz w:val="32"/>
          <w:szCs w:val="32"/>
        </w:rPr>
        <w:t xml:space="preserve"> 一是</w:t>
      </w:r>
      <w:r>
        <w:rPr>
          <w:rFonts w:hint="eastAsia" w:asciiTheme="majorEastAsia" w:hAnsiTheme="majorEastAsia" w:eastAsiaTheme="majorEastAsia"/>
          <w:color w:val="000000"/>
          <w:sz w:val="32"/>
          <w:szCs w:val="32"/>
        </w:rPr>
        <w:t>拟订并组织实施区国民经济和社会发展战略、中长期规划和年度计划，牵头组织统一规划体系建设。按要求按时限按标准完成洪山区“十三五”规划实施情况中期评估。二是</w:t>
      </w:r>
      <w:r>
        <w:rPr>
          <w:rFonts w:hint="eastAsia" w:cs="Times New Roman" w:asciiTheme="majorEastAsia" w:hAnsiTheme="majorEastAsia" w:eastAsiaTheme="majorEastAsia"/>
          <w:sz w:val="32"/>
          <w:szCs w:val="32"/>
        </w:rPr>
        <w:t>按照年度国民经济与社会发展计划目标，结合我委承担GDP增长率、服务业增加值、固定资产投资和重点项目建设等主要经济绩效目标，及时搞好调度、协调和监管，确保各项计划指标有序推进。三是</w:t>
      </w:r>
      <w:r>
        <w:rPr>
          <w:rFonts w:hint="eastAsia" w:cs="Times New Roman" w:asciiTheme="majorEastAsia" w:hAnsiTheme="majorEastAsia" w:eastAsiaTheme="majorEastAsia"/>
          <w:bCs/>
          <w:sz w:val="32"/>
          <w:szCs w:val="32"/>
        </w:rPr>
        <w:t>开展重点耗能企业节能专项监察，加强节能监测平台创建工作，积极鼓励引导企业合理确定生产技术和生产工艺，形成循环式的生产模式</w:t>
      </w:r>
      <w:r>
        <w:rPr>
          <w:rFonts w:hint="eastAsia" w:asciiTheme="majorEastAsia" w:hAnsiTheme="majorEastAsia" w:eastAsiaTheme="majorEastAsia"/>
          <w:color w:val="333333"/>
          <w:sz w:val="32"/>
          <w:szCs w:val="32"/>
        </w:rPr>
        <w:t>。</w:t>
      </w:r>
    </w:p>
    <w:p>
      <w:pPr>
        <w:spacing w:line="560" w:lineRule="exact"/>
        <w:ind w:firstLine="640" w:firstLineChars="200"/>
        <w:jc w:val="both"/>
        <w:rPr>
          <w:rFonts w:cs="Times New Roman" w:asciiTheme="majorEastAsia" w:hAnsiTheme="majorEastAsia" w:eastAsiaTheme="majorEastAsia"/>
          <w:color w:val="000000"/>
          <w:sz w:val="32"/>
          <w:szCs w:val="32"/>
        </w:rPr>
      </w:pPr>
      <w:r>
        <w:rPr>
          <w:rFonts w:hint="eastAsia" w:asciiTheme="majorEastAsia" w:hAnsiTheme="majorEastAsia" w:eastAsiaTheme="majorEastAsia"/>
          <w:color w:val="333333"/>
          <w:sz w:val="32"/>
          <w:szCs w:val="32"/>
        </w:rPr>
        <w:t>2、日常经济运行调节</w:t>
      </w:r>
      <w:r>
        <w:rPr>
          <w:rFonts w:hint="eastAsia" w:asciiTheme="majorEastAsia" w:hAnsiTheme="majorEastAsia" w:eastAsiaTheme="majorEastAsia"/>
          <w:color w:val="FF0000"/>
          <w:sz w:val="32"/>
          <w:szCs w:val="32"/>
        </w:rPr>
        <w:t xml:space="preserve"> </w:t>
      </w:r>
      <w:r>
        <w:rPr>
          <w:rFonts w:hint="eastAsia" w:asciiTheme="majorEastAsia" w:hAnsiTheme="majorEastAsia" w:eastAsiaTheme="majorEastAsia"/>
          <w:color w:val="333333"/>
          <w:sz w:val="32"/>
          <w:szCs w:val="32"/>
        </w:rPr>
        <w:t>544万元（帮扶资金544万元）</w:t>
      </w:r>
      <w:r>
        <w:rPr>
          <w:rFonts w:hint="eastAsia" w:asciiTheme="majorEastAsia" w:hAnsiTheme="majorEastAsia" w:eastAsiaTheme="majorEastAsia"/>
          <w:color w:val="000000"/>
          <w:sz w:val="32"/>
          <w:szCs w:val="32"/>
        </w:rPr>
        <w:t>主要成效: 一是</w:t>
      </w:r>
      <w:r>
        <w:rPr>
          <w:rFonts w:hint="eastAsia" w:cs="Times New Roman" w:asciiTheme="majorEastAsia" w:hAnsiTheme="majorEastAsia" w:eastAsiaTheme="majorEastAsia"/>
          <w:color w:val="000000"/>
          <w:sz w:val="32"/>
          <w:szCs w:val="32"/>
        </w:rPr>
        <w:t>认真贯彻落实中央关于实行精准扶贫工作精神，分别与来</w:t>
      </w:r>
      <w:r>
        <w:rPr>
          <w:rFonts w:hint="eastAsia" w:cs="Times New Roman" w:asciiTheme="majorEastAsia" w:hAnsiTheme="majorEastAsia" w:eastAsiaTheme="majorEastAsia"/>
          <w:sz w:val="32"/>
          <w:szCs w:val="32"/>
        </w:rPr>
        <w:t>凤县绿水镇、神农架林区下谷坪乡、五峰县渔洋关镇、郧西县安家乡定期开展联系，进行工作对接。二是全力做好对口支援新疆工作，帮助博乐市小营盘镇建设</w:t>
      </w:r>
      <w:r>
        <w:rPr>
          <w:rFonts w:hint="eastAsia" w:cs="Times New Roman" w:asciiTheme="majorEastAsia" w:hAnsiTheme="majorEastAsia" w:eastAsiaTheme="majorEastAsia"/>
          <w:color w:val="000000"/>
          <w:sz w:val="32"/>
          <w:szCs w:val="32"/>
        </w:rPr>
        <w:t>文化体育中心</w:t>
      </w:r>
      <w:r>
        <w:rPr>
          <w:rFonts w:hint="eastAsia" w:cs="Times New Roman" w:asciiTheme="majorEastAsia" w:hAnsiTheme="majorEastAsia" w:eastAsiaTheme="majorEastAsia"/>
          <w:sz w:val="32"/>
          <w:szCs w:val="32"/>
        </w:rPr>
        <w:t>便民项目</w:t>
      </w:r>
      <w:r>
        <w:rPr>
          <w:rFonts w:hint="eastAsia" w:cs="Times New Roman" w:asciiTheme="majorEastAsia" w:hAnsiTheme="majorEastAsia" w:eastAsiaTheme="majorEastAsia"/>
          <w:color w:val="000000"/>
          <w:sz w:val="32"/>
          <w:szCs w:val="32"/>
        </w:rPr>
        <w:t>。</w:t>
      </w:r>
    </w:p>
    <w:p>
      <w:pPr>
        <w:ind w:firstLine="320" w:firstLineChars="100"/>
        <w:jc w:val="both"/>
        <w:rPr>
          <w:rFonts w:asciiTheme="majorEastAsia" w:hAnsiTheme="majorEastAsia" w:eastAsiaTheme="majorEastAsia"/>
          <w:sz w:val="32"/>
          <w:szCs w:val="32"/>
        </w:rPr>
      </w:pPr>
      <w:r>
        <w:rPr>
          <w:rFonts w:hint="eastAsia" w:asciiTheme="majorEastAsia" w:hAnsiTheme="majorEastAsia" w:eastAsiaTheme="majorEastAsia"/>
          <w:color w:val="333333"/>
          <w:sz w:val="32"/>
          <w:szCs w:val="32"/>
        </w:rPr>
        <w:t xml:space="preserve">  3、社会事业发展规划5万元（</w:t>
      </w:r>
      <w:r>
        <w:rPr>
          <w:rFonts w:hint="eastAsia" w:asciiTheme="majorEastAsia" w:hAnsiTheme="majorEastAsia" w:eastAsiaTheme="majorEastAsia"/>
          <w:color w:val="333333"/>
          <w:sz w:val="32"/>
          <w:szCs w:val="32"/>
          <w:lang w:eastAsia="zh-CN"/>
        </w:rPr>
        <w:t>“</w:t>
      </w:r>
      <w:r>
        <w:rPr>
          <w:rFonts w:hint="eastAsia" w:asciiTheme="majorEastAsia" w:hAnsiTheme="majorEastAsia" w:eastAsiaTheme="majorEastAsia"/>
          <w:color w:val="333333"/>
          <w:sz w:val="32"/>
          <w:szCs w:val="32"/>
        </w:rPr>
        <w:t>十三五</w:t>
      </w:r>
      <w:r>
        <w:rPr>
          <w:rFonts w:hint="eastAsia" w:asciiTheme="majorEastAsia" w:hAnsiTheme="majorEastAsia" w:eastAsiaTheme="majorEastAsia"/>
          <w:color w:val="333333"/>
          <w:sz w:val="32"/>
          <w:szCs w:val="32"/>
          <w:lang w:eastAsia="zh-CN"/>
        </w:rPr>
        <w:t>”</w:t>
      </w:r>
      <w:r>
        <w:rPr>
          <w:rFonts w:hint="eastAsia" w:asciiTheme="majorEastAsia" w:hAnsiTheme="majorEastAsia" w:eastAsiaTheme="majorEastAsia"/>
          <w:color w:val="333333"/>
          <w:sz w:val="32"/>
          <w:szCs w:val="32"/>
        </w:rPr>
        <w:t>规划日常工作经费5万元）主要成效: 按通知要求和职能进行考察调研，协调全区各相关部门和街道进行“十三五”规划实施情况中期</w:t>
      </w:r>
      <w:r>
        <w:rPr>
          <w:rFonts w:hint="eastAsia" w:asciiTheme="majorEastAsia" w:hAnsiTheme="majorEastAsia" w:eastAsiaTheme="majorEastAsia"/>
          <w:sz w:val="32"/>
          <w:szCs w:val="32"/>
        </w:rPr>
        <w:t>评估，印制“十三五”规划实施情况中期评估各类资料和区政府常务会、区委常委会、区政协会议、区人大会议审议各类材料。</w:t>
      </w:r>
    </w:p>
    <w:p>
      <w:pPr>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color w:val="333333"/>
          <w:sz w:val="32"/>
          <w:szCs w:val="32"/>
        </w:rPr>
        <w:t>4、其他发展和改革事务支出286.89万元（项目评估论证专项经费286.89万元）主要成效:负责全区投资综合管理，</w:t>
      </w:r>
      <w:r>
        <w:rPr>
          <w:rFonts w:hint="eastAsia" w:asciiTheme="majorEastAsia" w:hAnsiTheme="majorEastAsia" w:eastAsiaTheme="majorEastAsia"/>
          <w:color w:val="000000"/>
          <w:sz w:val="32"/>
          <w:szCs w:val="32"/>
        </w:rPr>
        <w:t>负责项目审批的综合协调工作，按规定权限审批、备案重大项目。</w:t>
      </w:r>
      <w:r>
        <w:rPr>
          <w:rFonts w:asciiTheme="majorEastAsia" w:hAnsiTheme="majorEastAsia" w:eastAsiaTheme="majorEastAsia"/>
          <w:color w:val="000000"/>
          <w:sz w:val="32"/>
          <w:szCs w:val="32"/>
        </w:rPr>
        <w:t xml:space="preserve">                            </w:t>
      </w:r>
    </w:p>
    <w:p>
      <w:pPr>
        <w:spacing w:line="560" w:lineRule="exact"/>
        <w:ind w:firstLine="640" w:firstLineChars="200"/>
        <w:jc w:val="both"/>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5、其他一般公共服务支出40万元（</w:t>
      </w:r>
      <w:r>
        <w:rPr>
          <w:rFonts w:hint="eastAsia" w:asciiTheme="majorEastAsia" w:hAnsiTheme="majorEastAsia" w:eastAsiaTheme="majorEastAsia"/>
          <w:color w:val="333333"/>
          <w:sz w:val="32"/>
          <w:szCs w:val="32"/>
        </w:rPr>
        <w:t>对口援疆经费</w:t>
      </w:r>
      <w:r>
        <w:rPr>
          <w:rFonts w:hint="eastAsia" w:cs="Times New Roman" w:asciiTheme="majorEastAsia" w:hAnsiTheme="majorEastAsia" w:eastAsiaTheme="majorEastAsia"/>
          <w:color w:val="000000"/>
          <w:sz w:val="32"/>
          <w:szCs w:val="32"/>
        </w:rPr>
        <w:t>40</w:t>
      </w:r>
      <w:r>
        <w:rPr>
          <w:rFonts w:hint="eastAsia" w:asciiTheme="majorEastAsia" w:hAnsiTheme="majorEastAsia" w:eastAsiaTheme="majorEastAsia"/>
          <w:color w:val="333333"/>
          <w:sz w:val="32"/>
          <w:szCs w:val="32"/>
        </w:rPr>
        <w:t>万元</w:t>
      </w:r>
      <w:r>
        <w:rPr>
          <w:rFonts w:hint="eastAsia" w:cs="Times New Roman" w:asciiTheme="majorEastAsia" w:hAnsiTheme="majorEastAsia" w:eastAsiaTheme="majorEastAsia"/>
          <w:color w:val="000000"/>
          <w:sz w:val="32"/>
          <w:szCs w:val="32"/>
        </w:rPr>
        <w:t>）主要成效：</w:t>
      </w:r>
      <w:r>
        <w:rPr>
          <w:rFonts w:hint="eastAsia" w:cs="Times New Roman" w:asciiTheme="majorEastAsia" w:hAnsiTheme="majorEastAsia" w:eastAsiaTheme="majorEastAsia"/>
          <w:sz w:val="32"/>
          <w:szCs w:val="32"/>
        </w:rPr>
        <w:t>全力做好对口支援新疆工作，帮助博乐市小营盘镇建设了</w:t>
      </w:r>
      <w:r>
        <w:rPr>
          <w:rFonts w:hint="eastAsia" w:cs="Times New Roman" w:asciiTheme="majorEastAsia" w:hAnsiTheme="majorEastAsia" w:eastAsiaTheme="majorEastAsia"/>
          <w:color w:val="000000"/>
          <w:sz w:val="32"/>
          <w:szCs w:val="32"/>
        </w:rPr>
        <w:t>文化体育中心</w:t>
      </w:r>
      <w:r>
        <w:rPr>
          <w:rFonts w:hint="eastAsia" w:cs="Times New Roman" w:asciiTheme="majorEastAsia" w:hAnsiTheme="majorEastAsia" w:eastAsiaTheme="majorEastAsia"/>
          <w:sz w:val="32"/>
          <w:szCs w:val="32"/>
        </w:rPr>
        <w:t>便民项目</w:t>
      </w:r>
      <w:r>
        <w:rPr>
          <w:rFonts w:hint="eastAsia" w:cs="Times New Roman" w:asciiTheme="majorEastAsia" w:hAnsiTheme="majorEastAsia" w:eastAsiaTheme="majorEastAsia"/>
          <w:color w:val="000000"/>
          <w:sz w:val="32"/>
          <w:szCs w:val="32"/>
        </w:rPr>
        <w:t>。</w:t>
      </w:r>
    </w:p>
    <w:p>
      <w:pPr>
        <w:spacing w:line="560" w:lineRule="exact"/>
        <w:ind w:firstLine="640" w:firstLineChars="200"/>
        <w:jc w:val="both"/>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6、技术研究与开发536万元（</w:t>
      </w:r>
      <w:r>
        <w:rPr>
          <w:rFonts w:hint="eastAsia" w:asciiTheme="majorEastAsia" w:hAnsiTheme="majorEastAsia" w:eastAsiaTheme="majorEastAsia"/>
          <w:color w:val="333333"/>
          <w:sz w:val="32"/>
          <w:szCs w:val="32"/>
        </w:rPr>
        <w:t>中小企业发展专项资金-小进规企业奖励资金</w:t>
      </w:r>
      <w:r>
        <w:rPr>
          <w:rFonts w:hint="eastAsia" w:cs="Times New Roman" w:asciiTheme="majorEastAsia" w:hAnsiTheme="majorEastAsia" w:eastAsiaTheme="majorEastAsia"/>
          <w:color w:val="000000"/>
          <w:sz w:val="32"/>
          <w:szCs w:val="32"/>
        </w:rPr>
        <w:t>110万元、企业发展专项资金（循环经济）426万元）主要成效：一是项目预算资金全部投向</w:t>
      </w:r>
      <w:r>
        <w:rPr>
          <w:rFonts w:cs="Times New Roman" w:asciiTheme="majorEastAsia" w:hAnsiTheme="majorEastAsia" w:eastAsiaTheme="majorEastAsia"/>
          <w:color w:val="000000"/>
          <w:sz w:val="32"/>
          <w:szCs w:val="32"/>
        </w:rPr>
        <w:t>2017年度新增46家服务业“小进规”企业，符合市人民政府关于支持服务业小微企业进入规模企业的政策要求，对于支持洪山区服务业中小企业的发展质量，提高企业的生产积极性发挥了明显的作用，财政经济效益突出，2018年全区的服务业增加值达到10.2%，增幅在全市中心城区排名第一。</w:t>
      </w:r>
      <w:r>
        <w:rPr>
          <w:rFonts w:hint="eastAsia" w:cs="Times New Roman" w:asciiTheme="majorEastAsia" w:hAnsiTheme="majorEastAsia" w:eastAsiaTheme="majorEastAsia"/>
          <w:color w:val="000000"/>
          <w:sz w:val="32"/>
          <w:szCs w:val="32"/>
        </w:rPr>
        <w:t>二是各街道推进绿色能源发展和节能改造项目。</w:t>
      </w:r>
    </w:p>
    <w:p>
      <w:pPr>
        <w:spacing w:line="560" w:lineRule="exact"/>
        <w:ind w:firstLine="640" w:firstLineChars="200"/>
        <w:jc w:val="both"/>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7、商业服务业等支出115万元（</w:t>
      </w:r>
      <w:r>
        <w:rPr>
          <w:rFonts w:hint="eastAsia" w:asciiTheme="majorEastAsia" w:hAnsiTheme="majorEastAsia" w:eastAsiaTheme="majorEastAsia"/>
          <w:color w:val="333333"/>
          <w:sz w:val="32"/>
          <w:szCs w:val="32"/>
        </w:rPr>
        <w:t>中小企业发展专项资金-小进规企业奖励资金</w:t>
      </w:r>
      <w:r>
        <w:rPr>
          <w:rFonts w:hint="eastAsia" w:cs="Times New Roman" w:asciiTheme="majorEastAsia" w:hAnsiTheme="majorEastAsia" w:eastAsiaTheme="majorEastAsia"/>
          <w:color w:val="000000"/>
          <w:sz w:val="32"/>
          <w:szCs w:val="32"/>
        </w:rPr>
        <w:t>115万元）主要成效：项目预算资金全部投向</w:t>
      </w:r>
      <w:r>
        <w:rPr>
          <w:rFonts w:cs="Times New Roman" w:asciiTheme="majorEastAsia" w:hAnsiTheme="majorEastAsia" w:eastAsiaTheme="majorEastAsia"/>
          <w:color w:val="000000"/>
          <w:sz w:val="32"/>
          <w:szCs w:val="32"/>
        </w:rPr>
        <w:t>2017年度新增46家服务业“小进规”企业，符合市人民政府关于支持服务业小微企业进入规模企业的政策要求，对于支持洪山区服务业中小企业的发展质量，提高企业的生产积极性发挥了明显的作用，财政经济效益突出，2018年全区的服务业增加值达到10.2%，增幅在全市中心城区排名第一。</w:t>
      </w:r>
    </w:p>
    <w:p>
      <w:pPr>
        <w:spacing w:line="560" w:lineRule="exact"/>
        <w:ind w:firstLine="640" w:firstLineChars="200"/>
        <w:jc w:val="both"/>
        <w:rPr>
          <w:rFonts w:asciiTheme="majorEastAsia" w:hAnsiTheme="majorEastAsia" w:eastAsiaTheme="majorEastAsia"/>
          <w:color w:val="FF0000"/>
          <w:sz w:val="32"/>
          <w:szCs w:val="32"/>
        </w:rPr>
      </w:pPr>
      <w:r>
        <w:rPr>
          <w:rFonts w:hint="eastAsia" w:asciiTheme="majorEastAsia" w:hAnsiTheme="majorEastAsia" w:eastAsiaTheme="majorEastAsia"/>
          <w:color w:val="333333"/>
          <w:sz w:val="32"/>
          <w:szCs w:val="32"/>
        </w:rPr>
        <w:t>8、价格管理经费49.23万元（价格监督检查分局主要有：价格监督检查工作、价格举报工作、价格咨询的受理工作、办理价格服务相关工作16.79万元。成本监审价格认定分局主要有：负责辖区定价成本监审工作及其与此相关其他事项、负责公检法司委托的涉案价格鉴定、负责辖区公安交通部门委托的车物损失价格鉴定、负责辖区政府相关部门委托的价格鉴定、负责规范化创建工作32.44万元）</w:t>
      </w:r>
      <w:r>
        <w:rPr>
          <w:rFonts w:hint="eastAsia" w:asciiTheme="majorEastAsia" w:hAnsiTheme="majorEastAsia" w:eastAsiaTheme="majorEastAsia"/>
          <w:color w:val="000000"/>
          <w:sz w:val="32"/>
          <w:szCs w:val="32"/>
        </w:rPr>
        <w:t>主要成效：</w:t>
      </w:r>
      <w:r>
        <w:rPr>
          <w:rFonts w:hint="eastAsia" w:cs="Times New Roman" w:asciiTheme="majorEastAsia" w:hAnsiTheme="majorEastAsia" w:eastAsiaTheme="majorEastAsia"/>
          <w:sz w:val="32"/>
          <w:szCs w:val="32"/>
        </w:rPr>
        <w:t>开展药品价格、明码标价、停车服务收费、电力价格、城管系统收费等等专项检查整治工作。节假日组织价检人员在集贸市场、商场、超市、客运车站等客流量较大的场所，对与民众生活关系密切的明码标价问题进行检查和宣传。认真做好价格举报和投诉工作。</w:t>
      </w:r>
    </w:p>
    <w:p>
      <w:pPr>
        <w:spacing w:line="560" w:lineRule="exact"/>
        <w:ind w:firstLine="627" w:firstLineChars="196"/>
        <w:jc w:val="both"/>
        <w:rPr>
          <w:rFonts w:cs="Times New Roman" w:asciiTheme="majorEastAsia" w:hAnsiTheme="majorEastAsia" w:eastAsiaTheme="majorEastAsia"/>
          <w:sz w:val="32"/>
          <w:szCs w:val="32"/>
        </w:rPr>
      </w:pPr>
      <w:r>
        <w:rPr>
          <w:rFonts w:hint="eastAsia" w:asciiTheme="majorEastAsia" w:hAnsiTheme="majorEastAsia" w:eastAsiaTheme="majorEastAsia"/>
          <w:color w:val="333333"/>
          <w:sz w:val="32"/>
          <w:szCs w:val="32"/>
        </w:rPr>
        <w:t>9、其他粮油事物支出13.43万元（粮食行业管理及市场检查经费5万元、后勤保障经费8.43万元）</w:t>
      </w:r>
      <w:r>
        <w:rPr>
          <w:rFonts w:hint="eastAsia" w:asciiTheme="majorEastAsia" w:hAnsiTheme="majorEastAsia" w:eastAsiaTheme="majorEastAsia"/>
          <w:color w:val="000000"/>
          <w:sz w:val="32"/>
          <w:szCs w:val="32"/>
        </w:rPr>
        <w:t>主要成效:</w:t>
      </w:r>
      <w:r>
        <w:rPr>
          <w:rFonts w:hint="eastAsia" w:cs="Times New Roman" w:asciiTheme="majorEastAsia" w:hAnsiTheme="majorEastAsia" w:eastAsiaTheme="majorEastAsia"/>
          <w:sz w:val="32"/>
          <w:szCs w:val="32"/>
        </w:rPr>
        <w:t>做好粮食收储监管、</w:t>
      </w:r>
      <w:r>
        <w:rPr>
          <w:rFonts w:hint="eastAsia" w:asciiTheme="majorEastAsia" w:hAnsiTheme="majorEastAsia" w:eastAsiaTheme="majorEastAsia"/>
          <w:color w:val="000000"/>
          <w:sz w:val="32"/>
          <w:szCs w:val="32"/>
        </w:rPr>
        <w:t>加强</w:t>
      </w:r>
      <w:r>
        <w:rPr>
          <w:rFonts w:hint="eastAsia" w:cs="Times New Roman" w:asciiTheme="majorEastAsia" w:hAnsiTheme="majorEastAsia" w:eastAsiaTheme="majorEastAsia"/>
          <w:sz w:val="32"/>
          <w:szCs w:val="32"/>
        </w:rPr>
        <w:t>白沙洲粮油批发市场和“放心粮油店”的重点监管、对白沙洲粮油批发市场实行粮油价格监测、认真做好粮食企业服务工作，宣传粮油安全政策和法规知识。</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(一般公共预算财政拨款支出决算具体情况，按支出功能分类类级科目逐类分析)</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1.一般公共服务支出(类)。年初预算为</w:t>
      </w:r>
      <w:r>
        <w:rPr>
          <w:rFonts w:hint="eastAsia" w:asciiTheme="majorEastAsia" w:hAnsiTheme="majorEastAsia" w:eastAsiaTheme="majorEastAsia"/>
          <w:sz w:val="32"/>
          <w:szCs w:val="32"/>
          <w:u w:val="single"/>
        </w:rPr>
        <w:t xml:space="preserve"> 1914.6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2150.6   </w:t>
      </w:r>
      <w:r>
        <w:rPr>
          <w:rFonts w:hint="eastAsia" w:asciiTheme="majorEastAsia" w:hAnsiTheme="majorEastAsia" w:eastAsiaTheme="majorEastAsia"/>
          <w:sz w:val="32"/>
          <w:szCs w:val="32"/>
        </w:rPr>
        <w:t>万元，完成年初预算的</w:t>
      </w:r>
      <w:r>
        <w:rPr>
          <w:rFonts w:hint="eastAsia" w:asciiTheme="majorEastAsia" w:hAnsiTheme="majorEastAsia" w:eastAsiaTheme="majorEastAsia"/>
          <w:sz w:val="32"/>
          <w:szCs w:val="32"/>
          <w:u w:val="single"/>
        </w:rPr>
        <w:t xml:space="preserve">  112.33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2.国防支出(类)。年度预算为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3.公共安全支出(类)。年度预算为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left="319" w:leftChars="133" w:firstLine="320" w:firstLineChars="100"/>
        <w:rPr>
          <w:rFonts w:asciiTheme="majorEastAsia" w:hAnsiTheme="majorEastAsia" w:eastAsiaTheme="majorEastAsia"/>
          <w:sz w:val="32"/>
          <w:szCs w:val="32"/>
        </w:rPr>
      </w:pPr>
      <w:r>
        <w:rPr>
          <w:rFonts w:hint="eastAsia" w:asciiTheme="majorEastAsia" w:hAnsiTheme="majorEastAsia" w:eastAsiaTheme="majorEastAsia"/>
          <w:sz w:val="32"/>
          <w:szCs w:val="32"/>
        </w:rPr>
        <w:t>4.教育支出(类)。年度预算为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 xml:space="preserve"> %，支出决算数小于年度预算数(低于92%时必须说明原因)的主要原因一是……；二是……。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5.科学技术支出(类)。年度预算为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536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6.文化体育与传媒支出(类)。年度预算为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7.社会保障和就业支出(类)。年度预算为</w:t>
      </w:r>
      <w:r>
        <w:rPr>
          <w:rFonts w:hint="eastAsia" w:asciiTheme="majorEastAsia" w:hAnsiTheme="majorEastAsia" w:eastAsiaTheme="majorEastAsia"/>
          <w:sz w:val="32"/>
          <w:szCs w:val="32"/>
          <w:u w:val="single"/>
        </w:rPr>
        <w:t xml:space="preserve">  321.29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156.54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48.72  </w:t>
      </w:r>
      <w:r>
        <w:rPr>
          <w:rFonts w:hint="eastAsia" w:asciiTheme="majorEastAsia" w:hAnsiTheme="majorEastAsia" w:eastAsiaTheme="majorEastAsia"/>
          <w:sz w:val="32"/>
          <w:szCs w:val="32"/>
        </w:rPr>
        <w:t>%，支出决算数小于年度预算数的主要原因是离退休人员转入社保发放退休费。</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8.医疗卫生与计划生育支出(类)。年度预算为</w:t>
      </w:r>
      <w:r>
        <w:rPr>
          <w:rFonts w:hint="eastAsia" w:asciiTheme="majorEastAsia" w:hAnsiTheme="majorEastAsia" w:eastAsiaTheme="majorEastAsia"/>
          <w:sz w:val="32"/>
          <w:szCs w:val="32"/>
          <w:u w:val="single"/>
        </w:rPr>
        <w:t xml:space="preserve"> 58.88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54.27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92.17  </w:t>
      </w:r>
      <w:r>
        <w:rPr>
          <w:rFonts w:hint="eastAsia" w:asciiTheme="majorEastAsia" w:hAnsiTheme="majorEastAsia" w:eastAsiaTheme="majorEastAsia"/>
          <w:sz w:val="32"/>
          <w:szCs w:val="32"/>
        </w:rPr>
        <w:t>%。</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9.节能环保支出(类)。年度预算为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10.城乡社区支出(类)。年度预算为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11.农林水支出(类)。年度预算为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12.交通运输支出(类)。年度预算为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13.资源勘探信息等支出(类)。年度预算为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14.商业服务业等支出(类)。年度预算为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115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15.援助其他地区支出(类)。年度预算为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16.国土海洋气象等支出(类)。年度预算为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17.住房保障支出(类)。年度预算为</w:t>
      </w:r>
      <w:r>
        <w:rPr>
          <w:rFonts w:hint="eastAsia" w:asciiTheme="majorEastAsia" w:hAnsiTheme="majorEastAsia" w:eastAsiaTheme="majorEastAsia"/>
          <w:sz w:val="32"/>
          <w:szCs w:val="32"/>
          <w:u w:val="single"/>
        </w:rPr>
        <w:t xml:space="preserve">  169.07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156.41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92.51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18.粮油物资储备支出(类)。年度预算为</w:t>
      </w:r>
      <w:r>
        <w:rPr>
          <w:rFonts w:hint="eastAsia" w:asciiTheme="majorEastAsia" w:hAnsiTheme="majorEastAsia" w:eastAsiaTheme="majorEastAsia"/>
          <w:sz w:val="32"/>
          <w:szCs w:val="32"/>
          <w:u w:val="single"/>
        </w:rPr>
        <w:t xml:space="preserve">  547.64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212.34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38.77   </w:t>
      </w:r>
      <w:r>
        <w:rPr>
          <w:rFonts w:hint="eastAsia" w:asciiTheme="majorEastAsia" w:hAnsiTheme="majorEastAsia" w:eastAsiaTheme="majorEastAsia"/>
          <w:sz w:val="32"/>
          <w:szCs w:val="32"/>
        </w:rPr>
        <w:t>%，支出决算数小于年度预算数的主要原因是离退休人员转入社保发放退休费。</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19.其他支出(类)。年度预算为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20.债务付息支出(类)。年度预算为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万元，支出决算为</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万元，完成年度预算的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%，支出决算数小于年度预算数(低于92%时必须说明原因)的主要原因一是……；二是……。</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六、2018年度一般公共预算财政拨款基本支出决算情况说明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2018度一般公共预算财政拨款基本支出</w:t>
      </w:r>
      <w:r>
        <w:rPr>
          <w:rFonts w:hint="eastAsia" w:asciiTheme="majorEastAsia" w:hAnsiTheme="majorEastAsia" w:eastAsiaTheme="majorEastAsia"/>
          <w:sz w:val="32"/>
          <w:szCs w:val="32"/>
          <w:u w:val="single"/>
        </w:rPr>
        <w:t xml:space="preserve">  1602.72  </w:t>
      </w:r>
      <w:r>
        <w:rPr>
          <w:rFonts w:hint="eastAsia" w:asciiTheme="majorEastAsia" w:hAnsiTheme="majorEastAsia" w:eastAsiaTheme="majorEastAsia"/>
          <w:sz w:val="32"/>
          <w:szCs w:val="32"/>
        </w:rPr>
        <w:t>万元，其中，</w:t>
      </w:r>
      <w:r>
        <w:rPr>
          <w:rFonts w:hint="eastAsia" w:asciiTheme="majorEastAsia" w:hAnsiTheme="majorEastAsia" w:eastAsiaTheme="majorEastAsia"/>
          <w:b/>
          <w:bCs/>
          <w:sz w:val="32"/>
          <w:szCs w:val="32"/>
        </w:rPr>
        <w:t>人员经费</w:t>
      </w:r>
      <w:r>
        <w:rPr>
          <w:rFonts w:hint="eastAsia" w:asciiTheme="majorEastAsia" w:hAnsiTheme="majorEastAsia" w:eastAsiaTheme="majorEastAsia"/>
          <w:b/>
          <w:bCs/>
          <w:sz w:val="32"/>
          <w:szCs w:val="32"/>
          <w:u w:val="single"/>
        </w:rPr>
        <w:t xml:space="preserve">  1565.58  </w:t>
      </w:r>
      <w:r>
        <w:rPr>
          <w:rFonts w:hint="eastAsia" w:asciiTheme="majorEastAsia" w:hAnsiTheme="majorEastAsia" w:eastAsiaTheme="major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助学金、奖励金、个人农业生产补贴、其他对个人和家庭的补助支出；</w:t>
      </w:r>
      <w:r>
        <w:rPr>
          <w:rFonts w:hint="eastAsia" w:asciiTheme="majorEastAsia" w:hAnsiTheme="majorEastAsia" w:eastAsiaTheme="majorEastAsia"/>
          <w:b/>
          <w:bCs/>
          <w:sz w:val="32"/>
          <w:szCs w:val="32"/>
        </w:rPr>
        <w:t>公用经费</w:t>
      </w:r>
      <w:r>
        <w:rPr>
          <w:rFonts w:hint="eastAsia" w:asciiTheme="majorEastAsia" w:hAnsiTheme="majorEastAsia" w:eastAsiaTheme="majorEastAsia"/>
          <w:b/>
          <w:bCs/>
          <w:sz w:val="32"/>
          <w:szCs w:val="32"/>
          <w:u w:val="single"/>
        </w:rPr>
        <w:t xml:space="preserve">   37.14  </w:t>
      </w:r>
      <w:r>
        <w:rPr>
          <w:rFonts w:hint="eastAsia" w:asciiTheme="majorEastAsia" w:hAnsiTheme="majorEastAsia" w:eastAsiaTheme="majorEastAsia"/>
          <w:sz w:val="32"/>
          <w:szCs w:val="32"/>
        </w:rPr>
        <w:t>万元，主要包括：办公费、印刷费、咨询费、手续费、水费、电费、邮电费、取暖费、物业管理费、差旅费、因公出国(境)费、维修(护)费、 租赁费、会议费、培训费、公务接待费、专用材料费、被装购置费、专用燃料费、劳务费、委托业务费、工会经费、福利费、公务用车运行维护费、其他交通费用、 税金及附加费用、其他商品和服务支出、办公设备购置、专用设备购置、信息网络及软件购置更新、公务用车购置、其他交通工具购置、其他资本性支出、企业费用补贴、其他对企事业单位的补贴。</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七、2018年度一般公共预算财政拨款“三公”经费支出决算情况说明</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(一)“三公”经费的单位范围</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u w:val="single"/>
        </w:rPr>
        <w:t>武汉市洪山区发展和改革委员会</w:t>
      </w:r>
      <w:r>
        <w:rPr>
          <w:rFonts w:hint="eastAsia" w:asciiTheme="majorEastAsia" w:hAnsiTheme="majorEastAsia" w:eastAsiaTheme="majorEastAsia"/>
          <w:color w:val="000000"/>
          <w:sz w:val="32"/>
          <w:szCs w:val="32"/>
        </w:rPr>
        <w:t>有一般公共预算财政拨款预算安排“三公”经费的单位包括本级及下属</w:t>
      </w:r>
      <w:r>
        <w:rPr>
          <w:rFonts w:hint="eastAsia" w:asciiTheme="majorEastAsia" w:hAnsiTheme="majorEastAsia" w:eastAsiaTheme="majorEastAsia"/>
          <w:color w:val="000000"/>
          <w:sz w:val="32"/>
          <w:szCs w:val="32"/>
          <w:u w:val="single"/>
        </w:rPr>
        <w:t xml:space="preserve"> 2 </w:t>
      </w:r>
      <w:r>
        <w:rPr>
          <w:rFonts w:hint="eastAsia" w:asciiTheme="majorEastAsia" w:hAnsiTheme="majorEastAsia" w:eastAsiaTheme="majorEastAsia"/>
          <w:color w:val="000000"/>
          <w:sz w:val="32"/>
          <w:szCs w:val="32"/>
        </w:rPr>
        <w:t>个行政单位、</w:t>
      </w:r>
      <w:r>
        <w:rPr>
          <w:rFonts w:hint="eastAsia" w:asciiTheme="majorEastAsia" w:hAnsiTheme="majorEastAsia" w:eastAsiaTheme="majorEastAsia"/>
          <w:color w:val="000000"/>
          <w:sz w:val="32"/>
          <w:szCs w:val="32"/>
          <w:u w:val="single"/>
        </w:rPr>
        <w:t> 0 </w:t>
      </w:r>
      <w:r>
        <w:rPr>
          <w:rFonts w:hint="eastAsia" w:asciiTheme="majorEastAsia" w:hAnsiTheme="majorEastAsia" w:eastAsiaTheme="majorEastAsia"/>
          <w:color w:val="000000"/>
          <w:sz w:val="32"/>
          <w:szCs w:val="32"/>
        </w:rPr>
        <w:t>个参公事业单位、</w:t>
      </w:r>
      <w:r>
        <w:rPr>
          <w:rFonts w:hint="eastAsia" w:asciiTheme="majorEastAsia" w:hAnsiTheme="majorEastAsia" w:eastAsiaTheme="majorEastAsia"/>
          <w:color w:val="000000"/>
          <w:sz w:val="32"/>
          <w:szCs w:val="32"/>
          <w:u w:val="single"/>
        </w:rPr>
        <w:t> 2</w:t>
      </w:r>
      <w:r>
        <w:rPr>
          <w:rFonts w:hint="eastAsia" w:asciiTheme="majorEastAsia" w:hAnsiTheme="majorEastAsia" w:eastAsiaTheme="majorEastAsia"/>
          <w:color w:val="000000"/>
          <w:sz w:val="32"/>
          <w:szCs w:val="32"/>
        </w:rPr>
        <w:t>个全额拨款事业单位。</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(二)一般公共预算财政拨款“三公”经费支出决算情况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rPr>
        <w:t>2018度“三公”经费财政拨款年初预算数为</w:t>
      </w:r>
      <w:r>
        <w:rPr>
          <w:rFonts w:hint="eastAsia" w:asciiTheme="majorEastAsia" w:hAnsiTheme="majorEastAsia" w:eastAsiaTheme="majorEastAsia"/>
          <w:color w:val="000000"/>
          <w:sz w:val="32"/>
          <w:szCs w:val="32"/>
          <w:u w:val="single"/>
        </w:rPr>
        <w:t xml:space="preserve">  4.76  </w:t>
      </w:r>
      <w:r>
        <w:rPr>
          <w:rFonts w:hint="eastAsia" w:asciiTheme="majorEastAsia" w:hAnsiTheme="majorEastAsia" w:eastAsiaTheme="majorEastAsia"/>
          <w:color w:val="000000"/>
          <w:sz w:val="32"/>
          <w:szCs w:val="32"/>
        </w:rPr>
        <w:t>万元，支出决算为</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万元，为预算的</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w:t>
      </w:r>
      <w:r>
        <w:rPr>
          <w:rFonts w:hint="eastAsia" w:asciiTheme="majorEastAsia" w:hAnsiTheme="majorEastAsia" w:eastAsiaTheme="majorEastAsia"/>
          <w:sz w:val="32"/>
          <w:szCs w:val="32"/>
        </w:rPr>
        <w:t>其中：</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rPr>
        <w:t>1.因公出国(境)费用支出决算为</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万元，为预算的</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%，比预算增加(减少)</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万元，主要原因是当年未发生因公出国（境）费用。</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rPr>
        <w:t>2.公务用车购置及运行维护费支出决算为</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万元，完成预算的</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%；其中：</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rPr>
        <w:t>(1)公务用车购置费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万元，为预算的</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%，比预算增加(减少)</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万元，主要原因是2018年公车改革，没有购置车辆。本年度购置(更新)公务用车</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辆，年末公务用车保有量</w:t>
      </w:r>
      <w:r>
        <w:rPr>
          <w:rFonts w:hint="eastAsia" w:asciiTheme="majorEastAsia" w:hAnsiTheme="majorEastAsia" w:eastAsiaTheme="majorEastAsia"/>
          <w:i/>
          <w:color w:val="000000"/>
          <w:sz w:val="32"/>
          <w:szCs w:val="32"/>
          <w:u w:val="single"/>
        </w:rPr>
        <w:t xml:space="preserve"> 1  </w:t>
      </w:r>
      <w:r>
        <w:rPr>
          <w:rFonts w:hint="eastAsia" w:asciiTheme="majorEastAsia" w:hAnsiTheme="majorEastAsia" w:eastAsiaTheme="majorEastAsia"/>
          <w:color w:val="000000"/>
          <w:sz w:val="32"/>
          <w:szCs w:val="32"/>
        </w:rPr>
        <w:t>辆。</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color w:val="000000"/>
          <w:sz w:val="32"/>
          <w:szCs w:val="32"/>
        </w:rPr>
        <w:t>(2)公务用车运行维护费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万元，为预算的</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%，比预算增加(减少)</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万元，主要原因是公车改革车辆上交。其中：租车费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万元；燃料费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万元；维修费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万元；过桥过路费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万元；保险费</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万元；安全奖励费用</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万元；其他</w:t>
      </w:r>
      <w:r>
        <w:rPr>
          <w:rFonts w:hint="eastAsia" w:asciiTheme="majorEastAsia" w:hAnsiTheme="majorEastAsia" w:eastAsiaTheme="majorEastAsia"/>
          <w:color w:val="000000"/>
          <w:sz w:val="32"/>
          <w:szCs w:val="32"/>
          <w:u w:val="single"/>
        </w:rPr>
        <w:t>填写具体项目</w:t>
      </w:r>
      <w:r>
        <w:rPr>
          <w:rFonts w:hint="eastAsia" w:asciiTheme="majorEastAsia" w:hAnsiTheme="majorEastAsia" w:eastAsiaTheme="majorEastAsia"/>
          <w:color w:val="000000"/>
          <w:sz w:val="32"/>
          <w:szCs w:val="32"/>
        </w:rPr>
        <w:t>等</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w:t>
      </w:r>
    </w:p>
    <w:p>
      <w:pPr>
        <w:snapToGrid w:val="0"/>
        <w:spacing w:before="100" w:beforeAutospacing="1" w:after="100" w:afterAutospacing="1" w:line="580" w:lineRule="atLeast"/>
        <w:ind w:firstLine="64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2018年度“三公”经费财政拨款支出决算数比2017年减少</w:t>
      </w:r>
      <w:r>
        <w:rPr>
          <w:rFonts w:hint="eastAsia" w:asciiTheme="majorEastAsia" w:hAnsiTheme="majorEastAsia" w:eastAsiaTheme="majorEastAsia"/>
          <w:color w:val="000000"/>
          <w:sz w:val="32"/>
          <w:szCs w:val="32"/>
          <w:u w:val="single"/>
        </w:rPr>
        <w:t xml:space="preserve"> 7  </w:t>
      </w:r>
      <w:r>
        <w:rPr>
          <w:rFonts w:hint="eastAsia" w:asciiTheme="majorEastAsia" w:hAnsiTheme="majorEastAsia" w:eastAsiaTheme="majorEastAsia"/>
          <w:color w:val="000000"/>
          <w:sz w:val="32"/>
          <w:szCs w:val="32"/>
        </w:rPr>
        <w:t>万元，降低</w:t>
      </w:r>
      <w:r>
        <w:rPr>
          <w:rFonts w:hint="eastAsia" w:asciiTheme="majorEastAsia" w:hAnsiTheme="majorEastAsia" w:eastAsiaTheme="majorEastAsia"/>
          <w:color w:val="000000"/>
          <w:sz w:val="32"/>
          <w:szCs w:val="32"/>
          <w:u w:val="single"/>
        </w:rPr>
        <w:t xml:space="preserve"> 100   </w:t>
      </w:r>
      <w:r>
        <w:rPr>
          <w:rFonts w:hint="eastAsia" w:asciiTheme="majorEastAsia" w:hAnsiTheme="majorEastAsia" w:eastAsiaTheme="majorEastAsia"/>
          <w:color w:val="000000"/>
          <w:sz w:val="32"/>
          <w:szCs w:val="32"/>
        </w:rPr>
        <w:t xml:space="preserve">%，其中：因公出国(境)支出决算减少 </w:t>
      </w:r>
      <w:r>
        <w:rPr>
          <w:rFonts w:hint="eastAsia" w:asciiTheme="majorEastAsia" w:hAnsiTheme="majorEastAsia" w:eastAsiaTheme="majorEastAsia"/>
          <w:color w:val="000000"/>
          <w:sz w:val="32"/>
          <w:szCs w:val="32"/>
          <w:u w:val="single"/>
        </w:rPr>
        <w:t xml:space="preserve"> 7  </w:t>
      </w:r>
      <w:r>
        <w:rPr>
          <w:rFonts w:hint="eastAsia" w:asciiTheme="majorEastAsia" w:hAnsiTheme="majorEastAsia" w:eastAsiaTheme="majorEastAsia"/>
          <w:color w:val="000000"/>
          <w:sz w:val="32"/>
          <w:szCs w:val="32"/>
        </w:rPr>
        <w:t>万元，降低</w:t>
      </w:r>
      <w:r>
        <w:rPr>
          <w:rFonts w:hint="eastAsia" w:asciiTheme="majorEastAsia" w:hAnsiTheme="majorEastAsia" w:eastAsiaTheme="majorEastAsia"/>
          <w:color w:val="000000"/>
          <w:sz w:val="32"/>
          <w:szCs w:val="32"/>
          <w:u w:val="single"/>
        </w:rPr>
        <w:t xml:space="preserve">  100 </w:t>
      </w:r>
      <w:r>
        <w:rPr>
          <w:rFonts w:hint="eastAsia" w:asciiTheme="majorEastAsia" w:hAnsiTheme="majorEastAsia" w:eastAsiaTheme="majorEastAsia"/>
          <w:color w:val="000000"/>
          <w:sz w:val="32"/>
          <w:szCs w:val="32"/>
        </w:rPr>
        <w:t>%；公务用车购置及运行费支出决算增加(减少)</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万元，增长(降低)</w:t>
      </w:r>
      <w:r>
        <w:rPr>
          <w:rFonts w:hint="eastAsia" w:asciiTheme="majorEastAsia" w:hAnsiTheme="majorEastAsia" w:eastAsiaTheme="majorEastAsia"/>
          <w:color w:val="000000"/>
          <w:sz w:val="32"/>
          <w:szCs w:val="32"/>
          <w:u w:val="single"/>
        </w:rPr>
        <w:t xml:space="preserve"> 0  </w:t>
      </w:r>
      <w:r>
        <w:rPr>
          <w:rFonts w:hint="eastAsia" w:asciiTheme="majorEastAsia" w:hAnsiTheme="majorEastAsia" w:eastAsiaTheme="majorEastAsia"/>
          <w:color w:val="000000"/>
          <w:sz w:val="32"/>
          <w:szCs w:val="32"/>
        </w:rPr>
        <w:t>%,公务接待支出决算增加(减少)</w:t>
      </w:r>
      <w:r>
        <w:rPr>
          <w:rFonts w:hint="eastAsia" w:asciiTheme="majorEastAsia" w:hAnsiTheme="majorEastAsia" w:eastAsiaTheme="majorEastAsia"/>
          <w:color w:val="000000"/>
          <w:sz w:val="32"/>
          <w:szCs w:val="32"/>
          <w:u w:val="single"/>
        </w:rPr>
        <w:t xml:space="preserve"> 0  </w:t>
      </w:r>
      <w:r>
        <w:rPr>
          <w:rFonts w:hint="eastAsia" w:hAnsi="MS Gothic" w:eastAsia="MS Gothic" w:asciiTheme="majorEastAsia"/>
          <w:color w:val="000000"/>
          <w:sz w:val="32"/>
          <w:szCs w:val="32"/>
          <w:u w:val="single"/>
        </w:rPr>
        <w:t>​</w:t>
      </w:r>
      <w:r>
        <w:rPr>
          <w:rFonts w:hint="eastAsia" w:asciiTheme="majorEastAsia" w:hAnsiTheme="majorEastAsia" w:eastAsiaTheme="majorEastAsia"/>
          <w:color w:val="000000"/>
          <w:sz w:val="32"/>
          <w:szCs w:val="32"/>
        </w:rPr>
        <w:t>万元，增长(降低)</w:t>
      </w:r>
      <w:r>
        <w:rPr>
          <w:rFonts w:hint="eastAsia" w:asciiTheme="majorEastAsia" w:hAnsiTheme="majorEastAsia" w:eastAsiaTheme="majorEastAsia"/>
          <w:color w:val="000000"/>
          <w:sz w:val="32"/>
          <w:szCs w:val="32"/>
          <w:u w:val="single"/>
        </w:rPr>
        <w:t xml:space="preserve"> 0  </w:t>
      </w:r>
      <w:r>
        <w:rPr>
          <w:rFonts w:hint="eastAsia" w:hAnsi="MS Gothic" w:eastAsia="MS Gothic" w:asciiTheme="majorEastAsia"/>
          <w:color w:val="000000"/>
          <w:sz w:val="32"/>
          <w:szCs w:val="32"/>
        </w:rPr>
        <w:t>​</w:t>
      </w:r>
      <w:r>
        <w:rPr>
          <w:rFonts w:hint="eastAsia" w:asciiTheme="majorEastAsia" w:hAnsiTheme="majorEastAsia" w:eastAsiaTheme="majorEastAsia"/>
          <w:color w:val="000000"/>
          <w:sz w:val="32"/>
          <w:szCs w:val="32"/>
        </w:rPr>
        <w:t>%。因公出国(境)费用支出减少的主要原因是</w:t>
      </w:r>
      <w:r>
        <w:rPr>
          <w:rFonts w:hint="eastAsia" w:asciiTheme="majorEastAsia" w:hAnsiTheme="majorEastAsia" w:eastAsiaTheme="majorEastAsia"/>
          <w:i/>
          <w:iCs/>
          <w:color w:val="000000"/>
          <w:sz w:val="32"/>
          <w:szCs w:val="32"/>
        </w:rPr>
        <w:t>未支出因公出国费用</w:t>
      </w:r>
      <w:r>
        <w:rPr>
          <w:rFonts w:hint="eastAsia" w:asciiTheme="majorEastAsia" w:hAnsiTheme="majorEastAsia" w:eastAsiaTheme="majorEastAsia"/>
          <w:color w:val="000000"/>
          <w:sz w:val="32"/>
          <w:szCs w:val="32"/>
        </w:rPr>
        <w:t>，公务用车购置及运行费支出决算增加(减少)的主要原因是公车改革未使用，公务接待支出决算增加(减少)减少的主要原因是严格执行十八大以来的有关规定，严控公务接待支出。</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八、2018年度政府性基金预算财政拨款收入支出决算情况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2018年政府性基金预算财政拨款上年结转和结余0.00万元，本年收入0.00</w:t>
      </w:r>
      <w:r>
        <w:rPr>
          <w:rFonts w:hint="eastAsia" w:hAnsi="MS Gothic" w:eastAsia="MS Gothic" w:asciiTheme="majorEastAsia"/>
          <w:sz w:val="32"/>
          <w:szCs w:val="32"/>
        </w:rPr>
        <w:t>​</w:t>
      </w:r>
      <w:r>
        <w:rPr>
          <w:rFonts w:hint="eastAsia" w:asciiTheme="majorEastAsia" w:hAnsiTheme="majorEastAsia" w:eastAsiaTheme="majorEastAsia"/>
          <w:sz w:val="32"/>
          <w:szCs w:val="32"/>
        </w:rPr>
        <w:t>万元，本年支出0.00</w:t>
      </w:r>
      <w:r>
        <w:rPr>
          <w:rFonts w:hint="eastAsia" w:hAnsi="MS Gothic" w:eastAsia="MS Gothic" w:asciiTheme="majorEastAsia"/>
          <w:sz w:val="32"/>
          <w:szCs w:val="32"/>
        </w:rPr>
        <w:t>​</w:t>
      </w:r>
      <w:r>
        <w:rPr>
          <w:rFonts w:hint="eastAsia" w:asciiTheme="majorEastAsia" w:hAnsiTheme="majorEastAsia" w:eastAsiaTheme="majorEastAsia"/>
          <w:sz w:val="32"/>
          <w:szCs w:val="32"/>
        </w:rPr>
        <w:t>万元，年末结转和结余0.00</w:t>
      </w:r>
      <w:r>
        <w:rPr>
          <w:rFonts w:hint="eastAsia" w:hAnsi="MS Gothic" w:eastAsia="MS Gothic" w:asciiTheme="majorEastAsia"/>
          <w:sz w:val="32"/>
          <w:szCs w:val="32"/>
        </w:rPr>
        <w:t>​</w:t>
      </w:r>
      <w:r>
        <w:rPr>
          <w:rFonts w:hint="eastAsia" w:asciiTheme="majorEastAsia" w:hAnsiTheme="majorEastAsia" w:eastAsiaTheme="majorEastAsia"/>
          <w:sz w:val="32"/>
          <w:szCs w:val="32"/>
        </w:rPr>
        <w:t>万元。具体支出情况为：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(政府性基金预算财政拨款支出决算具体情况，按支出功能分类类级科目逐类分析)</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(一) 文化体育与传媒支出 (类)。支出决算为0万元，主要用于……等方面支出。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 社会保障和就业支出 (类)。支出决算为0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(三) 城乡社区支出 (类)。支出决算为0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(四) 农林水支出(类)。支出决算为0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(五) 交通运输支出(类)。支出决算为0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(六) 资源勘探信息等支出(类)。支出决算为0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(七) 其他支出 (类)。支出决算为0</w:t>
      </w:r>
      <w:r>
        <w:rPr>
          <w:rFonts w:hint="eastAsia" w:hAnsi="MS Gothic" w:eastAsia="MS Gothic" w:asciiTheme="majorEastAsia"/>
          <w:sz w:val="32"/>
          <w:szCs w:val="32"/>
        </w:rPr>
        <w:t>​</w:t>
      </w:r>
      <w:r>
        <w:rPr>
          <w:rFonts w:hint="eastAsia" w:asciiTheme="majorEastAsia" w:hAnsiTheme="majorEastAsia" w:eastAsiaTheme="majorEastAsia"/>
          <w:sz w:val="32"/>
          <w:szCs w:val="32"/>
        </w:rPr>
        <w:t>万元，主要用于……等方面支出。</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九、关于2018年度预算绩效情况说明</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(一)预算绩效管理工作开展情况</w:t>
      </w:r>
    </w:p>
    <w:p>
      <w:pPr>
        <w:spacing w:line="560" w:lineRule="exac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根据预算绩效管理要求，武汉市洪山区发展和改革委员会组织对2018年度一般公共预算项目支出全面开展绩效自评,共涉及项目</w:t>
      </w:r>
      <w:r>
        <w:rPr>
          <w:rFonts w:hint="eastAsia" w:asciiTheme="majorEastAsia" w:hAnsiTheme="majorEastAsia" w:eastAsiaTheme="majorEastAsia"/>
          <w:sz w:val="32"/>
          <w:szCs w:val="32"/>
          <w:u w:val="single"/>
        </w:rPr>
        <w:t> 23</w:t>
      </w:r>
      <w:r>
        <w:rPr>
          <w:rFonts w:hint="eastAsia" w:asciiTheme="majorEastAsia" w:hAnsiTheme="majorEastAsia" w:eastAsiaTheme="majorEastAsia"/>
          <w:sz w:val="32"/>
          <w:szCs w:val="32"/>
        </w:rPr>
        <w:t>个，资金</w:t>
      </w:r>
      <w:r>
        <w:rPr>
          <w:rFonts w:hint="eastAsia" w:asciiTheme="majorEastAsia" w:hAnsiTheme="majorEastAsia" w:eastAsiaTheme="majorEastAsia"/>
          <w:sz w:val="32"/>
          <w:szCs w:val="32"/>
          <w:u w:val="single"/>
        </w:rPr>
        <w:t> 1686.99</w:t>
      </w:r>
      <w:r>
        <w:rPr>
          <w:rFonts w:hint="eastAsia" w:asciiTheme="majorEastAsia" w:hAnsiTheme="majorEastAsia" w:eastAsiaTheme="majorEastAsia"/>
          <w:sz w:val="32"/>
          <w:szCs w:val="32"/>
        </w:rPr>
        <w:t>万元。组织对</w:t>
      </w:r>
      <w:r>
        <w:rPr>
          <w:rFonts w:hint="eastAsia" w:asciiTheme="majorEastAsia" w:hAnsiTheme="majorEastAsia" w:eastAsiaTheme="majorEastAsia"/>
          <w:sz w:val="32"/>
          <w:szCs w:val="32"/>
          <w:u w:val="single"/>
        </w:rPr>
        <w:t xml:space="preserve"> 2 </w:t>
      </w:r>
      <w:r>
        <w:rPr>
          <w:rFonts w:hint="eastAsia" w:asciiTheme="majorEastAsia" w:hAnsiTheme="majorEastAsia" w:eastAsiaTheme="majorEastAsia"/>
          <w:sz w:val="32"/>
          <w:szCs w:val="32"/>
        </w:rPr>
        <w:t>个部门开展整体支出绩效自评，资金</w:t>
      </w:r>
      <w:r>
        <w:rPr>
          <w:rFonts w:hint="eastAsia" w:asciiTheme="majorEastAsia" w:hAnsiTheme="majorEastAsia" w:eastAsiaTheme="majorEastAsia"/>
          <w:sz w:val="32"/>
          <w:szCs w:val="32"/>
          <w:u w:val="single"/>
        </w:rPr>
        <w:t xml:space="preserve"> 1612.2 </w:t>
      </w:r>
      <w:r>
        <w:rPr>
          <w:rFonts w:hint="eastAsia" w:asciiTheme="majorEastAsia" w:hAnsiTheme="majorEastAsia" w:eastAsiaTheme="majorEastAsia"/>
          <w:sz w:val="32"/>
          <w:szCs w:val="32"/>
        </w:rPr>
        <w:t>万元。从绩效评价情况来看，发改委涉及项目7个。</w:t>
      </w:r>
    </w:p>
    <w:p>
      <w:pPr>
        <w:snapToGrid w:val="0"/>
        <w:spacing w:before="100" w:beforeAutospacing="1" w:after="100" w:afterAutospacing="1" w:line="580" w:lineRule="atLeast"/>
        <w:ind w:firstLine="642"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(二)绩效自评结果 </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武汉市洪山区发展和改革委员会今年在部门决算中反映所有项目绩效自评结果（不包括涉密项目）。</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u w:val="single"/>
        </w:rPr>
        <w:t>7个</w:t>
      </w:r>
      <w:r>
        <w:rPr>
          <w:rFonts w:hint="eastAsia" w:asciiTheme="majorEastAsia" w:hAnsiTheme="majorEastAsia" w:eastAsiaTheme="majorEastAsia"/>
          <w:sz w:val="32"/>
          <w:szCs w:val="32"/>
        </w:rPr>
        <w:t>项目绩效自评综述：项目全年预算数为</w:t>
      </w:r>
      <w:r>
        <w:rPr>
          <w:rFonts w:hint="eastAsia" w:asciiTheme="majorEastAsia" w:hAnsiTheme="majorEastAsia" w:eastAsiaTheme="majorEastAsia"/>
          <w:sz w:val="32"/>
          <w:szCs w:val="32"/>
          <w:u w:val="single"/>
        </w:rPr>
        <w:t xml:space="preserve">1612.2 </w:t>
      </w:r>
      <w:r>
        <w:rPr>
          <w:rFonts w:hint="eastAsia" w:asciiTheme="majorEastAsia" w:hAnsiTheme="majorEastAsia" w:eastAsiaTheme="majorEastAsia"/>
          <w:sz w:val="32"/>
          <w:szCs w:val="32"/>
        </w:rPr>
        <w:t>万元，执行数为</w:t>
      </w:r>
      <w:r>
        <w:rPr>
          <w:rFonts w:hint="eastAsia" w:asciiTheme="majorEastAsia" w:hAnsiTheme="majorEastAsia" w:eastAsiaTheme="majorEastAsia"/>
          <w:sz w:val="32"/>
          <w:szCs w:val="32"/>
          <w:u w:val="single"/>
        </w:rPr>
        <w:t xml:space="preserve"> 1542.2 </w:t>
      </w:r>
      <w:r>
        <w:rPr>
          <w:rFonts w:hint="eastAsia" w:asciiTheme="majorEastAsia" w:hAnsiTheme="majorEastAsia" w:eastAsiaTheme="majorEastAsia"/>
          <w:sz w:val="32"/>
          <w:szCs w:val="32"/>
        </w:rPr>
        <w:t>万元，完成预算的</w:t>
      </w:r>
      <w:r>
        <w:rPr>
          <w:rFonts w:hint="eastAsia" w:asciiTheme="majorEastAsia" w:hAnsiTheme="majorEastAsia" w:eastAsiaTheme="majorEastAsia"/>
          <w:sz w:val="32"/>
          <w:szCs w:val="32"/>
          <w:u w:val="single"/>
        </w:rPr>
        <w:t xml:space="preserve"> 95.66 </w:t>
      </w:r>
      <w:r>
        <w:rPr>
          <w:rFonts w:hint="eastAsia" w:asciiTheme="majorEastAsia" w:hAnsiTheme="majorEastAsia" w:eastAsiaTheme="majorEastAsia"/>
          <w:sz w:val="32"/>
          <w:szCs w:val="32"/>
        </w:rPr>
        <w:t>%。主要产出和效果：一是</w:t>
      </w:r>
      <w:r>
        <w:rPr>
          <w:rFonts w:hint="eastAsia" w:cs="Times New Roman" w:asciiTheme="majorEastAsia" w:hAnsiTheme="majorEastAsia" w:eastAsiaTheme="majorEastAsia"/>
          <w:color w:val="000000"/>
          <w:sz w:val="32"/>
          <w:szCs w:val="32"/>
        </w:rPr>
        <w:t>认真贯彻落实中央关于实行精准扶贫工作精神，分别与来</w:t>
      </w:r>
      <w:r>
        <w:rPr>
          <w:rFonts w:hint="eastAsia" w:cs="Times New Roman" w:asciiTheme="majorEastAsia" w:hAnsiTheme="majorEastAsia" w:eastAsiaTheme="majorEastAsia"/>
          <w:sz w:val="32"/>
          <w:szCs w:val="32"/>
        </w:rPr>
        <w:t>凤县绿水镇、神农架林区下谷坪乡、五峰县渔洋关镇、郧西县安家乡定期开展联系，进行工作对接。二是全力做好对口支援新疆工作，帮助博乐市小营盘镇建设了</w:t>
      </w:r>
      <w:r>
        <w:rPr>
          <w:rFonts w:hint="eastAsia" w:cs="Times New Roman" w:asciiTheme="majorEastAsia" w:hAnsiTheme="majorEastAsia" w:eastAsiaTheme="majorEastAsia"/>
          <w:color w:val="000000"/>
          <w:sz w:val="32"/>
          <w:szCs w:val="32"/>
        </w:rPr>
        <w:t>文化体育中心</w:t>
      </w:r>
      <w:r>
        <w:rPr>
          <w:rFonts w:hint="eastAsia" w:cs="Times New Roman" w:asciiTheme="majorEastAsia" w:hAnsiTheme="majorEastAsia" w:eastAsiaTheme="majorEastAsia"/>
          <w:sz w:val="32"/>
          <w:szCs w:val="32"/>
        </w:rPr>
        <w:t>便民项目</w:t>
      </w:r>
      <w:r>
        <w:rPr>
          <w:rFonts w:hint="eastAsia" w:cs="Times New Roman" w:asciiTheme="majorEastAsia" w:hAnsiTheme="majorEastAsia" w:eastAsiaTheme="majorEastAsia"/>
          <w:color w:val="000000"/>
          <w:sz w:val="32"/>
          <w:szCs w:val="32"/>
        </w:rPr>
        <w:t>。</w:t>
      </w:r>
      <w:r>
        <w:rPr>
          <w:rFonts w:hint="eastAsia" w:asciiTheme="majorEastAsia" w:hAnsiTheme="majorEastAsia" w:eastAsiaTheme="majorEastAsia"/>
          <w:sz w:val="32"/>
          <w:szCs w:val="32"/>
        </w:rPr>
        <w:t>三是</w:t>
      </w:r>
      <w:r>
        <w:rPr>
          <w:rFonts w:hint="eastAsia" w:cs="Times New Roman" w:asciiTheme="majorEastAsia" w:hAnsiTheme="majorEastAsia" w:eastAsiaTheme="majorEastAsia"/>
          <w:color w:val="000000"/>
          <w:sz w:val="32"/>
          <w:szCs w:val="32"/>
        </w:rPr>
        <w:t>项目预算资金全部投向</w:t>
      </w:r>
      <w:r>
        <w:rPr>
          <w:rFonts w:cs="Times New Roman" w:asciiTheme="majorEastAsia" w:hAnsiTheme="majorEastAsia" w:eastAsiaTheme="majorEastAsia"/>
          <w:color w:val="000000"/>
          <w:sz w:val="32"/>
          <w:szCs w:val="32"/>
        </w:rPr>
        <w:t>2017年度新增46家服务业“小进规”企业，符合市人民政府关于支持服务业小微企业进入规模企业的政策要求，对于支持洪山区服务业中小企业的发展质量，提高企业的生产积极性发挥了明显的作用，财政经济效益突出，2018年全区的服务业增加值达到10.2%，增幅在全市中心城区排名第一。</w:t>
      </w:r>
      <w:r>
        <w:rPr>
          <w:rFonts w:hint="eastAsia" w:asciiTheme="majorEastAsia" w:hAnsiTheme="majorEastAsia" w:eastAsiaTheme="majorEastAsia"/>
          <w:sz w:val="32"/>
          <w:szCs w:val="32"/>
        </w:rPr>
        <w:t>发现的问题及原因是执行率未达到100%，五峰县当年申报的扶贫资料不全，已至扶贫款未下拨。下一步改进措施是全力搞好协调工作，力争把扶贫政策用好用全。</w:t>
      </w:r>
    </w:p>
    <w:p>
      <w:pPr>
        <w:snapToGrid w:val="0"/>
        <w:spacing w:before="100" w:beforeAutospacing="1" w:after="100" w:afterAutospacing="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w:t>
      </w:r>
    </w:p>
    <w:p>
      <w:pPr>
        <w:snapToGrid w:val="0"/>
        <w:spacing w:before="100" w:beforeAutospacing="1" w:after="100" w:afterAutospacing="1"/>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（武汉市洪山区发展和改革委员会项目支出绩效自评报告见附件） </w:t>
      </w:r>
    </w:p>
    <w:p>
      <w:pPr>
        <w:snapToGrid w:val="0"/>
        <w:spacing w:before="100" w:beforeAutospacing="1" w:after="100" w:afterAutospacing="1" w:line="580" w:lineRule="atLeast"/>
        <w:ind w:firstLine="640"/>
        <w:rPr>
          <w:rFonts w:ascii="黑体" w:hAnsi="黑体" w:eastAsia="黑体"/>
          <w:sz w:val="32"/>
          <w:szCs w:val="32"/>
        </w:rPr>
      </w:pPr>
      <w:r>
        <w:rPr>
          <w:rFonts w:hint="eastAsia" w:ascii="黑体" w:hAnsi="黑体" w:eastAsia="黑体"/>
          <w:sz w:val="32"/>
          <w:szCs w:val="32"/>
        </w:rPr>
        <w:t>十、</w:t>
      </w:r>
      <w:r>
        <w:rPr>
          <w:rFonts w:hint="eastAsia" w:ascii="黑体" w:hAnsi="黑体" w:eastAsia="黑体"/>
          <w:color w:val="000000"/>
          <w:sz w:val="32"/>
          <w:szCs w:val="32"/>
        </w:rPr>
        <w:t>2018年度其他重要事项的情况</w:t>
      </w:r>
      <w:r>
        <w:rPr>
          <w:rFonts w:hint="eastAsia" w:ascii="黑体" w:hAnsi="黑体" w:eastAsia="黑体"/>
          <w:sz w:val="32"/>
          <w:szCs w:val="32"/>
        </w:rPr>
        <w:t>说明</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(一)机关运行经费支出情况。</w:t>
      </w:r>
    </w:p>
    <w:p>
      <w:pPr>
        <w:snapToGrid w:val="0"/>
        <w:spacing w:before="100" w:beforeAutospacing="1" w:after="100" w:afterAutospacing="1" w:line="580" w:lineRule="atLeast"/>
        <w:ind w:firstLine="640"/>
        <w:jc w:val="both"/>
        <w:rPr>
          <w:rFonts w:asciiTheme="majorEastAsia" w:hAnsiTheme="majorEastAsia" w:eastAsiaTheme="majorEastAsia"/>
          <w:sz w:val="32"/>
          <w:szCs w:val="32"/>
        </w:rPr>
      </w:pPr>
      <w:r>
        <w:rPr>
          <w:rFonts w:hint="eastAsia" w:asciiTheme="majorEastAsia" w:hAnsiTheme="majorEastAsia" w:eastAsiaTheme="majorEastAsia"/>
          <w:sz w:val="32"/>
          <w:szCs w:val="32"/>
        </w:rPr>
        <w:t>2018年度武汉市洪山区武汉市洪山区发展和改革委员会(含参照公务员法管理的事业单位)机关运行经费支出</w:t>
      </w:r>
      <w:r>
        <w:rPr>
          <w:rFonts w:hint="eastAsia" w:asciiTheme="majorEastAsia" w:hAnsiTheme="majorEastAsia" w:eastAsiaTheme="majorEastAsia"/>
          <w:sz w:val="32"/>
          <w:szCs w:val="32"/>
          <w:u w:val="single"/>
        </w:rPr>
        <w:t xml:space="preserve">37.14 </w:t>
      </w:r>
      <w:r>
        <w:rPr>
          <w:rFonts w:hint="eastAsia" w:asciiTheme="majorEastAsia" w:hAnsiTheme="majorEastAsia" w:eastAsiaTheme="majorEastAsia"/>
          <w:sz w:val="32"/>
          <w:szCs w:val="32"/>
        </w:rPr>
        <w:t>万元，比2017年增加(减少)</w:t>
      </w:r>
      <w:r>
        <w:rPr>
          <w:rFonts w:hint="eastAsia" w:asciiTheme="majorEastAsia" w:hAnsiTheme="majorEastAsia" w:eastAsiaTheme="majorEastAsia"/>
          <w:sz w:val="32"/>
          <w:szCs w:val="32"/>
          <w:u w:val="single"/>
        </w:rPr>
        <w:t>22.86</w:t>
      </w:r>
      <w:r>
        <w:rPr>
          <w:rFonts w:hint="eastAsia" w:asciiTheme="majorEastAsia" w:hAnsiTheme="majorEastAsia" w:eastAsiaTheme="majorEastAsia"/>
          <w:sz w:val="32"/>
          <w:szCs w:val="32"/>
        </w:rPr>
        <w:t>万元，增长(降低)</w:t>
      </w:r>
      <w:r>
        <w:rPr>
          <w:rFonts w:hint="eastAsia" w:asciiTheme="majorEastAsia" w:hAnsiTheme="majorEastAsia" w:eastAsiaTheme="majorEastAsia"/>
          <w:sz w:val="32"/>
          <w:szCs w:val="32"/>
          <w:u w:val="single"/>
        </w:rPr>
        <w:t> 38.1</w:t>
      </w:r>
      <w:r>
        <w:rPr>
          <w:rFonts w:hint="eastAsia" w:asciiTheme="majorEastAsia" w:hAnsiTheme="majorEastAsia" w:eastAsiaTheme="majorEastAsia"/>
          <w:sz w:val="32"/>
          <w:szCs w:val="32"/>
        </w:rPr>
        <w:t>%。主要原因是规范、合理运用资金，开支厉行节约。</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(二)政府采购支出情况。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2018年度武汉市洪山区武汉市洪山区发展和改革委员会政府采购支出总额0.00万元，其中：政府采购货物支出0.00万元、政府采购工程支出0.00万元、政府采购服务支出0.00万元。授予中小企业合同金额</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万元，占政府采购支出总额的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%，其中：授予小微企业合同金额</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万元，占政府采购支出总额的</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w:t>
      </w:r>
    </w:p>
    <w:p>
      <w:pPr>
        <w:snapToGrid w:val="0"/>
        <w:spacing w:before="100" w:beforeAutospacing="1" w:after="100" w:afterAutospacing="1" w:line="580" w:lineRule="atLeast"/>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(三)国有资产占用情况。</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截至2018年12月31日，武汉市洪山区发展和改革委员会共有车辆</w:t>
      </w:r>
      <w:r>
        <w:rPr>
          <w:rFonts w:hint="eastAsia" w:asciiTheme="majorEastAsia" w:hAnsiTheme="majorEastAsia" w:eastAsiaTheme="majorEastAsia"/>
          <w:sz w:val="32"/>
          <w:szCs w:val="32"/>
          <w:u w:val="single"/>
        </w:rPr>
        <w:t xml:space="preserve">  1   </w:t>
      </w:r>
      <w:r>
        <w:rPr>
          <w:rFonts w:hint="eastAsia" w:asciiTheme="majorEastAsia" w:hAnsiTheme="majorEastAsia" w:eastAsiaTheme="majorEastAsia"/>
          <w:sz w:val="32"/>
          <w:szCs w:val="32"/>
        </w:rPr>
        <w:t>辆，其中，一般公务用车</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辆，一般执法执勤用车</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辆，特种专业技术用车</w:t>
      </w:r>
      <w:r>
        <w:rPr>
          <w:rFonts w:hint="eastAsia" w:asciiTheme="majorEastAsia" w:hAnsiTheme="majorEastAsia" w:eastAsiaTheme="majorEastAsia"/>
          <w:sz w:val="32"/>
          <w:szCs w:val="32"/>
          <w:u w:val="single"/>
        </w:rPr>
        <w:t xml:space="preserve">  0  </w:t>
      </w:r>
      <w:r>
        <w:rPr>
          <w:rFonts w:hint="eastAsia" w:asciiTheme="majorEastAsia" w:hAnsiTheme="majorEastAsia" w:eastAsiaTheme="majorEastAsia"/>
          <w:sz w:val="32"/>
          <w:szCs w:val="32"/>
        </w:rPr>
        <w:t>辆，其他用</w:t>
      </w:r>
      <w:r>
        <w:rPr>
          <w:rFonts w:hint="eastAsia" w:asciiTheme="majorEastAsia" w:hAnsiTheme="majorEastAsia" w:eastAsiaTheme="majorEastAsia"/>
          <w:sz w:val="32"/>
          <w:szCs w:val="32"/>
          <w:u w:val="single"/>
        </w:rPr>
        <w:t xml:space="preserve">    </w:t>
      </w:r>
      <w:r>
        <w:rPr>
          <w:rFonts w:hint="eastAsia" w:asciiTheme="majorEastAsia" w:hAnsiTheme="majorEastAsia" w:eastAsiaTheme="majorEastAsia"/>
          <w:sz w:val="32"/>
          <w:szCs w:val="32"/>
        </w:rPr>
        <w:t>车 1  辆，其他用车主要是事业单位参加车改后资产未下账；单位价值50 万元(含)以上通用设备  0  台(套)，单价100万元(含)以上专用设备0.00</w:t>
      </w:r>
      <w:r>
        <w:rPr>
          <w:rFonts w:hint="eastAsia" w:hAnsi="MS Gothic" w:eastAsia="MS Gothic" w:asciiTheme="majorEastAsia"/>
          <w:sz w:val="32"/>
          <w:szCs w:val="32"/>
        </w:rPr>
        <w:t>​</w:t>
      </w:r>
      <w:r>
        <w:rPr>
          <w:rFonts w:hint="eastAsia" w:asciiTheme="majorEastAsia" w:hAnsiTheme="majorEastAsia" w:eastAsiaTheme="majorEastAsia"/>
          <w:sz w:val="32"/>
          <w:szCs w:val="32"/>
        </w:rPr>
        <w:t>台(套)。</w:t>
      </w: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p>
    <w:p>
      <w:pPr>
        <w:snapToGrid w:val="0"/>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b/>
          <w:bCs/>
          <w:sz w:val="32"/>
          <w:szCs w:val="32"/>
        </w:rPr>
        <w:t>第四部分  2018年重点工作完成情况</w:t>
      </w:r>
    </w:p>
    <w:p>
      <w:pPr>
        <w:snapToGrid w:val="0"/>
        <w:spacing w:before="100" w:beforeAutospacing="1" w:after="100" w:afterAutospacing="1" w:line="580" w:lineRule="atLeast"/>
        <w:ind w:firstLine="640"/>
        <w:jc w:val="center"/>
        <w:rPr>
          <w:rFonts w:asciiTheme="majorEastAsia" w:hAnsiTheme="majorEastAsia" w:eastAsiaTheme="majorEastAsia"/>
          <w:sz w:val="32"/>
          <w:szCs w:val="32"/>
        </w:rPr>
      </w:pP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一、全面建成小康社会方面</w:t>
      </w:r>
    </w:p>
    <w:p>
      <w:pPr>
        <w:spacing w:line="600" w:lineRule="exact"/>
        <w:ind w:firstLine="612" w:firstLineChars="198"/>
        <w:rPr>
          <w:rFonts w:ascii="仿宋_GB2312" w:eastAsia="仿宋_GB2312"/>
          <w:sz w:val="32"/>
          <w:szCs w:val="32"/>
        </w:rPr>
      </w:pPr>
      <w:r>
        <w:rPr>
          <w:rFonts w:hint="eastAsia" w:ascii="楷体" w:hAnsi="楷体" w:eastAsia="楷体"/>
          <w:b/>
          <w:spacing w:val="-6"/>
          <w:sz w:val="32"/>
          <w:szCs w:val="32"/>
        </w:rPr>
        <w:t>1、全区经济发展充满活力。</w:t>
      </w:r>
      <w:r>
        <w:rPr>
          <w:rFonts w:hint="eastAsia" w:ascii="仿宋_GB2312" w:eastAsia="仿宋_GB2312"/>
          <w:sz w:val="32"/>
          <w:szCs w:val="32"/>
        </w:rPr>
        <w:t>结合我委承担GDP增长率、服务业增加值、固定资产投资等主要经济目标，及时搞好调度、协调和监管，确保各项指标有序推进。预计全年完成地区生产总值1044亿元，同比增长9%；全社会固定资产投资同比增长13%；全年服务业同比增长9%，营利性服务业增幅12.9%。城镇居民人均可支配收入与经济增长保持同步。完成年度招商引资任务。第一季度因成绩突出，在武汉市拼搏赶超会上作正面经验交流。</w:t>
      </w:r>
    </w:p>
    <w:p>
      <w:pPr>
        <w:spacing w:line="600" w:lineRule="exact"/>
        <w:ind w:firstLine="629" w:firstLineChars="196"/>
        <w:rPr>
          <w:rFonts w:ascii="仿宋_GB2312" w:eastAsia="仿宋_GB2312"/>
          <w:sz w:val="32"/>
          <w:szCs w:val="32"/>
        </w:rPr>
      </w:pPr>
      <w:r>
        <w:rPr>
          <w:rFonts w:hint="eastAsia" w:ascii="楷体" w:hAnsi="楷体" w:eastAsia="楷体" w:cs="Times New Roman"/>
          <w:b/>
          <w:sz w:val="32"/>
          <w:szCs w:val="32"/>
          <w:shd w:val="clear" w:color="auto" w:fill="FFFFFF"/>
        </w:rPr>
        <w:t>2、重大项目建设推进有序。</w:t>
      </w:r>
      <w:r>
        <w:rPr>
          <w:rFonts w:hint="eastAsia" w:ascii="仿宋_GB2312" w:eastAsia="仿宋_GB2312"/>
          <w:sz w:val="32"/>
          <w:szCs w:val="32"/>
        </w:rPr>
        <w:t>2018年全区招商落地项目68个，往年签约40个、开工27个，当年签约项目28个、开工14个，完成市级目标。全年组织重大项目集中开工10次，《湖北卫视》、《湖北日报》报道了我区做法。全年完成政府投资项目审批140余件、企业投资备案170余件，政府投资立项审核率100%，办理企业投资项目备案零差错。</w:t>
      </w:r>
    </w:p>
    <w:p>
      <w:pPr>
        <w:spacing w:line="600" w:lineRule="exact"/>
        <w:ind w:firstLine="629" w:firstLineChars="196"/>
        <w:rPr>
          <w:rFonts w:ascii="仿宋_GB2312" w:eastAsia="仿宋_GB2312"/>
          <w:sz w:val="32"/>
          <w:szCs w:val="32"/>
        </w:rPr>
      </w:pPr>
      <w:r>
        <w:rPr>
          <w:rFonts w:hint="eastAsia" w:ascii="楷体" w:hAnsi="楷体" w:eastAsia="楷体" w:cs="Times New Roman"/>
          <w:b/>
          <w:sz w:val="32"/>
          <w:szCs w:val="32"/>
          <w:shd w:val="clear" w:color="auto" w:fill="FFFFFF"/>
        </w:rPr>
        <w:t>3、节能减排工作效果明显。</w:t>
      </w:r>
      <w:r>
        <w:rPr>
          <w:rFonts w:hint="eastAsia" w:ascii="仿宋_GB2312" w:eastAsia="仿宋_GB2312"/>
          <w:sz w:val="32"/>
          <w:szCs w:val="32"/>
        </w:rPr>
        <w:t>完成武汉电信器件有限公司等4家企业清洁生产达标工作，关闭粘土砖企业9家，改造燃煤锅炉19台，拒批高能耗、高污染、资源型项目10个，鉴别审查“僵尸企业”5000余户。完成市下达的节能降耗、碳减排和主要污染物减排任务。</w:t>
      </w:r>
    </w:p>
    <w:p>
      <w:pPr>
        <w:spacing w:line="600" w:lineRule="exact"/>
        <w:ind w:firstLine="629" w:firstLineChars="196"/>
        <w:rPr>
          <w:rFonts w:ascii="仿宋_GB2312" w:eastAsia="仿宋_GB2312"/>
          <w:sz w:val="32"/>
          <w:szCs w:val="32"/>
        </w:rPr>
      </w:pPr>
      <w:r>
        <w:rPr>
          <w:rFonts w:hint="eastAsia" w:ascii="楷体" w:hAnsi="楷体" w:eastAsia="楷体" w:cs="Times New Roman"/>
          <w:b/>
          <w:sz w:val="32"/>
          <w:szCs w:val="32"/>
          <w:shd w:val="clear" w:color="auto" w:fill="FFFFFF"/>
        </w:rPr>
        <w:t>4、经济协作工作协调发展。</w:t>
      </w:r>
      <w:r>
        <w:rPr>
          <w:rFonts w:hint="eastAsia" w:ascii="仿宋_GB2312" w:eastAsia="仿宋_GB2312"/>
          <w:sz w:val="32"/>
          <w:szCs w:val="32"/>
        </w:rPr>
        <w:t>协调做好洪山与小营盘镇领导互相考察工作，协调完成对口援疆项目帮扶资金240万元，配合协调21名维稳骨干赴博乐小营盘镇实地党性实践学习；积极做好武陵山区扶贫工作，协调区领导实地调研和落实项目帮扶资金424万元。扎实做好“精准扶贫”工作，先后3次对新洲区戴湾村对口帮扶贫困户慰问，支持25万元用于戴湾村脱贫建设。</w:t>
      </w:r>
    </w:p>
    <w:p>
      <w:pPr>
        <w:spacing w:line="600" w:lineRule="exact"/>
        <w:ind w:firstLine="629" w:firstLineChars="196"/>
        <w:rPr>
          <w:rFonts w:ascii="楷体" w:hAnsi="楷体" w:eastAsia="楷体" w:cs="Times New Roman"/>
          <w:b/>
          <w:sz w:val="32"/>
          <w:szCs w:val="32"/>
          <w:shd w:val="clear" w:color="auto" w:fill="FFFFFF"/>
        </w:rPr>
      </w:pPr>
      <w:r>
        <w:rPr>
          <w:rFonts w:hint="eastAsia" w:ascii="楷体" w:hAnsi="楷体" w:eastAsia="楷体" w:cs="Times New Roman"/>
          <w:b/>
          <w:sz w:val="32"/>
          <w:szCs w:val="32"/>
          <w:shd w:val="clear" w:color="auto" w:fill="FFFFFF"/>
        </w:rPr>
        <w:t>5、“大学之城”规划稳步推进。</w:t>
      </w:r>
      <w:r>
        <w:rPr>
          <w:rFonts w:hint="eastAsia" w:ascii="仿宋_GB2312" w:hAnsi="仿宋" w:eastAsia="仿宋_GB2312" w:cs="Times New Roman"/>
          <w:color w:val="000000"/>
          <w:sz w:val="32"/>
          <w:szCs w:val="32"/>
        </w:rPr>
        <w:t>按照高起点规划、高水平开发、高标准建设思路，精准对接东湖生态绿心和长江主轴战略，</w:t>
      </w:r>
      <w:r>
        <w:rPr>
          <w:rFonts w:hint="eastAsia" w:ascii="仿宋_GB2312" w:eastAsia="仿宋_GB2312"/>
          <w:sz w:val="32"/>
          <w:szCs w:val="32"/>
        </w:rPr>
        <w:t>完成“十三五”规划中期评估，</w:t>
      </w:r>
      <w:r>
        <w:rPr>
          <w:rFonts w:hint="eastAsia" w:ascii="仿宋_GB2312" w:hAnsi="仿宋" w:eastAsia="仿宋_GB2312" w:cs="Times New Roman"/>
          <w:color w:val="000000"/>
          <w:sz w:val="32"/>
          <w:szCs w:val="32"/>
        </w:rPr>
        <w:t>基本完成2030城市规划、土地规划修编，</w:t>
      </w:r>
      <w:r>
        <w:rPr>
          <w:rFonts w:hint="eastAsia" w:ascii="仿宋_GB2312" w:eastAsia="仿宋_GB2312"/>
          <w:sz w:val="32"/>
          <w:szCs w:val="32"/>
        </w:rPr>
        <w:t>编制完成大学之城建设《洪山之心 大学之城》规划文本的编写，“环大学创新经济圈”建设全面启动。武汉电视台《长江视点》栏目推广宣传了“大学之城”规划工作。</w:t>
      </w:r>
    </w:p>
    <w:p>
      <w:pPr>
        <w:spacing w:line="600" w:lineRule="exact"/>
        <w:ind w:firstLine="642" w:firstLineChars="200"/>
        <w:rPr>
          <w:rFonts w:ascii="楷体" w:hAnsi="楷体" w:eastAsia="楷体" w:cs="Times New Roman"/>
          <w:b/>
          <w:sz w:val="32"/>
          <w:szCs w:val="32"/>
          <w:shd w:val="clear" w:color="auto" w:fill="FFFFFF"/>
        </w:rPr>
      </w:pPr>
      <w:r>
        <w:rPr>
          <w:rFonts w:hint="eastAsia" w:ascii="楷体" w:hAnsi="楷体" w:eastAsia="楷体" w:cs="Times New Roman"/>
          <w:b/>
          <w:sz w:val="32"/>
          <w:szCs w:val="32"/>
          <w:shd w:val="clear" w:color="auto" w:fill="FFFFFF"/>
        </w:rPr>
        <w:t>6、民生服务力度持续加大。</w:t>
      </w:r>
      <w:r>
        <w:rPr>
          <w:rFonts w:hint="eastAsia" w:ascii="仿宋_GB2312" w:hAnsi="仿宋" w:eastAsia="仿宋_GB2312"/>
          <w:sz w:val="32"/>
          <w:szCs w:val="32"/>
        </w:rPr>
        <w:t>积极开展价格服务工作和节日市场巡查及市场价格监管，全年上报监测信息42000多条。及时办理价格投诉举报，全年受理价格举报4000多件，办结率达100％。全年办理公安机关委托650余件，确保无上访、无复议、无起诉。加强粮油市场监管，</w:t>
      </w:r>
      <w:r>
        <w:rPr>
          <w:rFonts w:hint="eastAsia" w:ascii="仿宋_GB2312" w:eastAsia="仿宋_GB2312"/>
          <w:sz w:val="32"/>
          <w:szCs w:val="32"/>
        </w:rPr>
        <w:t>及时准确报送粮食进、销、存数据和粮食价格信息，对全区“放心粮油”连锁店开展专项检查，抽取61份粮食样品送检结果全部合格。全年完成省</w:t>
      </w:r>
      <w:r>
        <w:rPr>
          <w:rFonts w:ascii="仿宋_GB2312" w:eastAsia="仿宋_GB2312"/>
          <w:sz w:val="32"/>
          <w:szCs w:val="32"/>
        </w:rPr>
        <w:t>市区</w:t>
      </w:r>
      <w:r>
        <w:rPr>
          <w:rFonts w:hint="eastAsia" w:ascii="仿宋_GB2312" w:eastAsia="仿宋_GB2312"/>
          <w:sz w:val="32"/>
          <w:szCs w:val="32"/>
        </w:rPr>
        <w:t>三</w:t>
      </w:r>
      <w:r>
        <w:rPr>
          <w:rFonts w:ascii="仿宋_GB2312" w:eastAsia="仿宋_GB2312"/>
          <w:sz w:val="32"/>
          <w:szCs w:val="32"/>
        </w:rPr>
        <w:t>级议提案办理2</w:t>
      </w:r>
      <w:r>
        <w:rPr>
          <w:rFonts w:hint="eastAsia" w:ascii="仿宋_GB2312" w:eastAsia="仿宋_GB2312"/>
          <w:sz w:val="32"/>
          <w:szCs w:val="32"/>
        </w:rPr>
        <w:t>2</w:t>
      </w:r>
      <w:r>
        <w:rPr>
          <w:rFonts w:ascii="仿宋_GB2312" w:eastAsia="仿宋_GB2312"/>
          <w:sz w:val="32"/>
          <w:szCs w:val="32"/>
        </w:rPr>
        <w:t>件</w:t>
      </w:r>
      <w:r>
        <w:rPr>
          <w:rFonts w:hint="eastAsia" w:ascii="仿宋_GB2312" w:eastAsia="仿宋_GB2312"/>
          <w:sz w:val="32"/>
          <w:szCs w:val="32"/>
        </w:rPr>
        <w:t>，全民科学素质明显提升。</w:t>
      </w:r>
    </w:p>
    <w:p>
      <w:pPr>
        <w:spacing w:line="600" w:lineRule="exact"/>
        <w:ind w:firstLine="642" w:firstLineChars="200"/>
        <w:rPr>
          <w:rFonts w:cs="Times New Roman" w:asciiTheme="minorEastAsia" w:hAnsiTheme="minorEastAsia"/>
          <w:b/>
          <w:sz w:val="32"/>
          <w:szCs w:val="32"/>
        </w:rPr>
      </w:pPr>
      <w:r>
        <w:rPr>
          <w:rFonts w:hint="eastAsia" w:cs="Times New Roman" w:asciiTheme="minorEastAsia" w:hAnsiTheme="minorEastAsia"/>
          <w:b/>
          <w:sz w:val="32"/>
          <w:szCs w:val="32"/>
        </w:rPr>
        <w:t>二、全面深化改革方面</w:t>
      </w:r>
    </w:p>
    <w:p>
      <w:pPr>
        <w:spacing w:line="600" w:lineRule="exact"/>
        <w:ind w:firstLine="642" w:firstLineChars="200"/>
        <w:rPr>
          <w:rFonts w:ascii="仿宋_GB2312" w:eastAsia="仿宋_GB2312"/>
          <w:sz w:val="32"/>
          <w:szCs w:val="32"/>
        </w:rPr>
      </w:pPr>
      <w:r>
        <w:rPr>
          <w:rFonts w:hint="eastAsia" w:ascii="楷体" w:hAnsi="楷体" w:eastAsia="楷体" w:cs="Times New Roman"/>
          <w:b/>
          <w:sz w:val="32"/>
          <w:szCs w:val="32"/>
          <w:shd w:val="clear" w:color="auto" w:fill="FFFFFF"/>
        </w:rPr>
        <w:t>1、产业引导基金深入推进。</w:t>
      </w:r>
      <w:r>
        <w:rPr>
          <w:rFonts w:hint="eastAsia" w:ascii="仿宋_GB2312" w:eastAsia="仿宋_GB2312"/>
          <w:sz w:val="32"/>
          <w:szCs w:val="32"/>
        </w:rPr>
        <w:t>成立洪山区战略性新兴产业发展引导基金理事会，确定区城投公司作为引导基金托管机构，组建洪山科技投资有限公司，构建科技资本市场融资及服务体系，完成注册资金3亿元。</w:t>
      </w:r>
    </w:p>
    <w:p>
      <w:pPr>
        <w:spacing w:line="600" w:lineRule="exact"/>
        <w:ind w:firstLine="642" w:firstLineChars="200"/>
        <w:rPr>
          <w:rFonts w:ascii="仿宋_GB2312" w:eastAsia="仿宋_GB2312"/>
          <w:sz w:val="32"/>
          <w:szCs w:val="32"/>
        </w:rPr>
      </w:pPr>
      <w:r>
        <w:rPr>
          <w:rFonts w:hint="eastAsia" w:ascii="楷体" w:hAnsi="楷体" w:eastAsia="楷体" w:cs="Times New Roman"/>
          <w:b/>
          <w:sz w:val="32"/>
          <w:szCs w:val="32"/>
          <w:shd w:val="clear" w:color="auto" w:fill="FFFFFF"/>
        </w:rPr>
        <w:t>2、供给侧改革工作全面推进。</w:t>
      </w:r>
      <w:r>
        <w:rPr>
          <w:rFonts w:hint="eastAsia" w:ascii="仿宋_GB2312" w:eastAsia="仿宋_GB2312"/>
          <w:sz w:val="32"/>
          <w:szCs w:val="32"/>
        </w:rPr>
        <w:t>开展对落后产能的清查和整治，清理、转型、整治5家高能耗企业。对于新开工项目严格执行节能审批，工程建筑节能达标率、居住建筑执行低能耗设计标准率、新建建筑能效标识率、新型墙体材料应用率都达到了100%。</w:t>
      </w:r>
    </w:p>
    <w:p>
      <w:pPr>
        <w:spacing w:line="600" w:lineRule="exact"/>
        <w:ind w:firstLine="709" w:firstLineChars="221"/>
        <w:rPr>
          <w:rFonts w:ascii="仿宋_GB2312" w:hAnsi="仿宋" w:eastAsia="仿宋_GB2312" w:cs="仿宋_GB2312"/>
          <w:sz w:val="32"/>
          <w:szCs w:val="32"/>
          <w:lang w:val="zh-CN"/>
        </w:rPr>
      </w:pPr>
      <w:r>
        <w:rPr>
          <w:rFonts w:hint="eastAsia" w:ascii="楷体" w:hAnsi="楷体" w:eastAsia="楷体" w:cs="Times New Roman"/>
          <w:b/>
          <w:sz w:val="32"/>
          <w:szCs w:val="32"/>
          <w:shd w:val="clear" w:color="auto" w:fill="FFFFFF"/>
        </w:rPr>
        <w:t>3、公务用车改革扎实完成。</w:t>
      </w:r>
      <w:r>
        <w:rPr>
          <w:rFonts w:hint="eastAsia" w:ascii="仿宋_GB2312" w:eastAsia="仿宋_GB2312"/>
          <w:sz w:val="32"/>
          <w:szCs w:val="32"/>
        </w:rPr>
        <w:t>根据《武汉市市属事业单位公务用车制度改革实施意见》，严密组织完成事业单位车改工作，保留车辆554辆，转岗安置司勤人员266人，节支率达到68.6%。</w:t>
      </w:r>
    </w:p>
    <w:p>
      <w:pPr>
        <w:spacing w:line="600" w:lineRule="exact"/>
        <w:ind w:firstLine="709" w:firstLineChars="221"/>
        <w:rPr>
          <w:rFonts w:ascii="仿宋_GB2312" w:hAnsi="仿宋" w:eastAsia="仿宋_GB2312" w:cs="仿宋_GB2312"/>
          <w:sz w:val="32"/>
          <w:szCs w:val="32"/>
          <w:lang w:val="zh-CN"/>
        </w:rPr>
      </w:pPr>
      <w:r>
        <w:rPr>
          <w:rFonts w:hint="eastAsia" w:ascii="楷体" w:hAnsi="楷体" w:eastAsia="楷体" w:cs="Times New Roman"/>
          <w:b/>
          <w:sz w:val="32"/>
          <w:szCs w:val="32"/>
          <w:shd w:val="clear" w:color="auto" w:fill="FFFFFF"/>
        </w:rPr>
        <w:t>4、信息体系建设成效明显。</w:t>
      </w:r>
      <w:r>
        <w:rPr>
          <w:rFonts w:hint="eastAsia" w:ascii="仿宋_GB2312" w:eastAsia="仿宋_GB2312"/>
          <w:sz w:val="32"/>
          <w:szCs w:val="32"/>
        </w:rPr>
        <w:t>按照省市要求，联合区综治办制定信用体系建设考核评分办法，在区政府网站“信用洪山”板块对外公示“双公示”目录和信息，全年汇集“双公示”信息总数达16000多条，在全市15个城区排名第3。积极推进</w:t>
      </w:r>
      <w:r>
        <w:rPr>
          <w:rFonts w:hint="eastAsia" w:ascii="仿宋_GB2312" w:hAnsi="仿宋" w:eastAsia="仿宋_GB2312" w:cs="仿宋_GB2312"/>
          <w:sz w:val="32"/>
          <w:szCs w:val="32"/>
          <w:lang w:val="zh-CN"/>
        </w:rPr>
        <w:t>信用查询、信用报告服务，向市信用办报送奖惩案例263项，上报红黑名单1667条，向全区45家信用成员和责任单位推送红黑名单3876条。</w:t>
      </w:r>
    </w:p>
    <w:p>
      <w:pPr>
        <w:spacing w:line="600" w:lineRule="exact"/>
        <w:ind w:firstLine="709" w:firstLineChars="221"/>
        <w:rPr>
          <w:rFonts w:ascii="仿宋_GB2312" w:eastAsia="仿宋_GB2312" w:hAnsiTheme="minorEastAsia"/>
          <w:sz w:val="32"/>
          <w:szCs w:val="32"/>
        </w:rPr>
      </w:pPr>
      <w:r>
        <w:rPr>
          <w:rFonts w:hint="eastAsia" w:ascii="楷体" w:hAnsi="楷体" w:eastAsia="楷体" w:cs="Times New Roman"/>
          <w:b/>
          <w:sz w:val="32"/>
          <w:szCs w:val="32"/>
          <w:shd w:val="clear" w:color="auto" w:fill="FFFFFF"/>
        </w:rPr>
        <w:t>5、完成放管服及三办改革。</w:t>
      </w:r>
      <w:r>
        <w:rPr>
          <w:rFonts w:hint="eastAsia" w:ascii="仿宋_GB2312" w:eastAsia="仿宋_GB2312" w:hAnsiTheme="minorEastAsia"/>
          <w:sz w:val="32"/>
          <w:szCs w:val="32"/>
        </w:rPr>
        <w:t>积极推进“一张网”建设，完成42项行政职权和服务事项在</w:t>
      </w:r>
      <w:r>
        <w:rPr>
          <w:rFonts w:hint="eastAsia" w:ascii="仿宋_GB2312" w:eastAsia="仿宋_GB2312"/>
          <w:sz w:val="32"/>
          <w:szCs w:val="32"/>
        </w:rPr>
        <w:t>湖北省行政职权和服务事项管理系统上</w:t>
      </w:r>
      <w:r>
        <w:rPr>
          <w:rFonts w:hint="eastAsia" w:ascii="仿宋_GB2312" w:eastAsia="仿宋_GB2312" w:hAnsiTheme="minorEastAsia"/>
          <w:sz w:val="32"/>
          <w:szCs w:val="32"/>
        </w:rPr>
        <w:t>的认领和发布，梳理11个依申请事项网上可办并完成9个依申请事项网上可办，完成8个事项证照收集上报。发改委政务窗口做到了“马上办、网上办、一次办”。</w:t>
      </w:r>
    </w:p>
    <w:p>
      <w:pPr>
        <w:spacing w:line="600" w:lineRule="exact"/>
        <w:ind w:firstLine="709" w:firstLineChars="221"/>
        <w:rPr>
          <w:rFonts w:cs="仿宋_GB2312" w:asciiTheme="minorEastAsia" w:hAnsiTheme="minorEastAsia"/>
          <w:b/>
          <w:sz w:val="32"/>
          <w:szCs w:val="32"/>
          <w:lang w:val="zh-CN"/>
        </w:rPr>
      </w:pPr>
      <w:r>
        <w:rPr>
          <w:rFonts w:hint="eastAsia" w:cs="仿宋_GB2312" w:asciiTheme="minorEastAsia" w:hAnsiTheme="minorEastAsia"/>
          <w:b/>
          <w:sz w:val="32"/>
          <w:szCs w:val="32"/>
          <w:lang w:val="zh-CN"/>
        </w:rPr>
        <w:t>三、全面依法治国方面</w:t>
      </w:r>
    </w:p>
    <w:p>
      <w:pPr>
        <w:spacing w:line="600" w:lineRule="exact"/>
        <w:ind w:firstLine="709" w:firstLineChars="221"/>
        <w:rPr>
          <w:rFonts w:ascii="仿宋" w:hAnsi="仿宋" w:eastAsia="仿宋" w:cs="Times New Roman"/>
          <w:sz w:val="32"/>
          <w:szCs w:val="32"/>
        </w:rPr>
      </w:pPr>
      <w:r>
        <w:rPr>
          <w:rFonts w:hint="eastAsia" w:ascii="楷体" w:hAnsi="楷体" w:eastAsia="楷体" w:cs="Times New Roman"/>
          <w:b/>
          <w:sz w:val="32"/>
          <w:szCs w:val="32"/>
          <w:shd w:val="clear" w:color="auto" w:fill="FFFFFF"/>
        </w:rPr>
        <w:t>1、法治机关建设不断加强。</w:t>
      </w:r>
      <w:r>
        <w:rPr>
          <w:rFonts w:hint="eastAsia" w:ascii="仿宋_GB2312" w:eastAsia="仿宋_GB2312"/>
          <w:sz w:val="32"/>
          <w:szCs w:val="32"/>
        </w:rPr>
        <w:t>认真做好法治机关建设的宣传工作，抓好《宪法》、《监察法》、《</w:t>
      </w:r>
      <w:r>
        <w:rPr>
          <w:rFonts w:hint="eastAsia" w:ascii="仿宋_GB2312" w:eastAsia="仿宋_GB2312"/>
          <w:sz w:val="32"/>
          <w:szCs w:val="32"/>
          <w:lang w:eastAsia="zh-CN"/>
        </w:rPr>
        <w:t>中国共产党章程</w:t>
      </w:r>
      <w:r>
        <w:rPr>
          <w:rFonts w:hint="eastAsia" w:ascii="仿宋_GB2312" w:eastAsia="仿宋_GB2312"/>
          <w:sz w:val="32"/>
          <w:szCs w:val="32"/>
        </w:rPr>
        <w:t>》、《</w:t>
      </w:r>
      <w:r>
        <w:rPr>
          <w:rFonts w:hint="eastAsia" w:ascii="仿宋_GB2312" w:eastAsia="仿宋_GB2312"/>
          <w:sz w:val="32"/>
          <w:szCs w:val="32"/>
          <w:lang w:eastAsia="zh-CN"/>
        </w:rPr>
        <w:t>中国共产党</w:t>
      </w:r>
      <w:r>
        <w:rPr>
          <w:rFonts w:hint="eastAsia" w:ascii="仿宋_GB2312" w:eastAsia="仿宋_GB2312"/>
          <w:sz w:val="32"/>
          <w:szCs w:val="32"/>
        </w:rPr>
        <w:t>纪律处分条例》、《扫黑除恶应知应会手册》学习，邀请法律顾问讲解《宪法》、《行政法》，参加学法用法平台培训和考试，落实武汉市行政机关负责人出庭应诉规定，完成司法应诉3件并胜诉</w:t>
      </w:r>
      <w:r>
        <w:rPr>
          <w:rFonts w:hint="eastAsia" w:ascii="仿宋" w:hAnsi="仿宋" w:eastAsia="仿宋" w:cs="Times New Roman"/>
          <w:sz w:val="32"/>
          <w:szCs w:val="32"/>
        </w:rPr>
        <w:t>。</w:t>
      </w:r>
    </w:p>
    <w:p>
      <w:pPr>
        <w:spacing w:line="600" w:lineRule="exact"/>
        <w:ind w:firstLine="642" w:firstLineChars="200"/>
        <w:rPr>
          <w:rFonts w:ascii="仿宋_GB2312" w:eastAsia="仿宋_GB2312"/>
          <w:sz w:val="32"/>
          <w:szCs w:val="32"/>
        </w:rPr>
      </w:pPr>
      <w:r>
        <w:rPr>
          <w:rFonts w:hint="eastAsia" w:ascii="楷体" w:hAnsi="楷体" w:eastAsia="楷体" w:cs="Times New Roman"/>
          <w:b/>
          <w:sz w:val="32"/>
          <w:szCs w:val="32"/>
          <w:shd w:val="clear" w:color="auto" w:fill="FFFFFF"/>
        </w:rPr>
        <w:t>2、社会治安综合治理工作全面落实。</w:t>
      </w:r>
      <w:r>
        <w:rPr>
          <w:rFonts w:hint="eastAsia" w:ascii="仿宋_GB2312" w:eastAsia="仿宋_GB2312"/>
          <w:sz w:val="32"/>
          <w:szCs w:val="32"/>
        </w:rPr>
        <w:t>认真落实全区“一感两度两率”和“平安洪山”建设要求和宣传工作，提高参与率和知晓率；结合贯彻部署扫黑除恶专项斗争，</w:t>
      </w:r>
      <w:r>
        <w:rPr>
          <w:rFonts w:hint="eastAsia" w:ascii="仿宋_GB2312" w:eastAsia="仿宋_GB2312" w:hAnsiTheme="minorEastAsia"/>
          <w:sz w:val="32"/>
          <w:szCs w:val="32"/>
        </w:rPr>
        <w:t>开展政治站位意识谈话，</w:t>
      </w:r>
      <w:r>
        <w:rPr>
          <w:rFonts w:hint="eastAsia" w:ascii="仿宋_GB2312" w:eastAsia="仿宋_GB2312"/>
          <w:sz w:val="32"/>
          <w:szCs w:val="32"/>
        </w:rPr>
        <w:t>积极参与综治联系点和共建社区活动，确保干部职工无违法行为。</w:t>
      </w:r>
    </w:p>
    <w:p>
      <w:pPr>
        <w:spacing w:line="600" w:lineRule="exact"/>
        <w:ind w:firstLine="642" w:firstLineChars="200"/>
        <w:rPr>
          <w:rFonts w:ascii="仿宋_GB2312" w:eastAsia="仿宋_GB2312" w:hAnsiTheme="minorEastAsia"/>
          <w:sz w:val="32"/>
          <w:szCs w:val="32"/>
        </w:rPr>
      </w:pPr>
      <w:r>
        <w:rPr>
          <w:rFonts w:hint="eastAsia" w:ascii="楷体" w:hAnsi="楷体" w:eastAsia="楷体" w:cs="Times New Roman"/>
          <w:b/>
          <w:sz w:val="32"/>
          <w:szCs w:val="32"/>
          <w:shd w:val="clear" w:color="auto" w:fill="FFFFFF"/>
        </w:rPr>
        <w:t>3、做好了信访、维稳及防范处理邪教工作。</w:t>
      </w:r>
      <w:r>
        <w:rPr>
          <w:rFonts w:hint="eastAsia" w:ascii="仿宋_GB2312" w:eastAsia="仿宋_GB2312" w:hAnsiTheme="minorEastAsia"/>
          <w:sz w:val="32"/>
          <w:szCs w:val="32"/>
        </w:rPr>
        <w:t>及时受理转办督办信访及网上投诉件，全年办理阳光信访100件、区(市)长信箱10件、城市留言板17件，办结回复率100%。结合双评议和不满意件督办，提升群众满意度。抓好维稳及防范处理邪教工作，确保无涉政人员上访，确保无涉邪人员。</w:t>
      </w:r>
    </w:p>
    <w:p>
      <w:pPr>
        <w:spacing w:line="600" w:lineRule="exact"/>
        <w:ind w:firstLine="642" w:firstLineChars="200"/>
        <w:rPr>
          <w:rFonts w:ascii="仿宋_GB2312" w:eastAsia="仿宋_GB2312" w:hAnsiTheme="minorEastAsia"/>
          <w:sz w:val="32"/>
          <w:szCs w:val="32"/>
        </w:rPr>
      </w:pPr>
      <w:r>
        <w:rPr>
          <w:rFonts w:hint="eastAsia" w:ascii="楷体" w:hAnsi="楷体" w:eastAsia="楷体" w:cs="Times New Roman"/>
          <w:b/>
          <w:sz w:val="32"/>
          <w:szCs w:val="32"/>
          <w:shd w:val="clear" w:color="auto" w:fill="FFFFFF"/>
        </w:rPr>
        <w:t>4、认真抓好安全生产工作。</w:t>
      </w:r>
      <w:r>
        <w:rPr>
          <w:rFonts w:hint="eastAsia" w:ascii="仿宋_GB2312" w:eastAsia="仿宋_GB2312" w:hAnsiTheme="minorEastAsia"/>
          <w:sz w:val="32"/>
          <w:szCs w:val="32"/>
        </w:rPr>
        <w:t>积极参与研究解决安全消防问题，对辖区油气管线开展系列安全生产大检查，确保无安全生产事故。认真开展办公场所内保及安全检查，坚持落实值班制度，全委未发生一起安全事故。</w:t>
      </w:r>
    </w:p>
    <w:p>
      <w:pPr>
        <w:spacing w:line="600" w:lineRule="exact"/>
        <w:ind w:firstLine="642" w:firstLineChars="200"/>
        <w:rPr>
          <w:rFonts w:ascii="仿宋_GB2312" w:eastAsia="仿宋_GB2312"/>
          <w:sz w:val="32"/>
          <w:szCs w:val="32"/>
        </w:rPr>
      </w:pPr>
      <w:r>
        <w:rPr>
          <w:rFonts w:hint="eastAsia" w:ascii="楷体" w:hAnsi="楷体" w:eastAsia="楷体" w:cs="Times New Roman"/>
          <w:b/>
          <w:sz w:val="32"/>
          <w:szCs w:val="32"/>
          <w:shd w:val="clear" w:color="auto" w:fill="FFFFFF"/>
        </w:rPr>
        <w:t>5、积极推动机关文明创建。</w:t>
      </w:r>
      <w:r>
        <w:rPr>
          <w:rFonts w:hint="eastAsia" w:ascii="仿宋_GB2312" w:eastAsia="仿宋_GB2312"/>
          <w:sz w:val="32"/>
          <w:szCs w:val="32"/>
        </w:rPr>
        <w:t>组织观看</w:t>
      </w:r>
      <w:r>
        <w:rPr>
          <w:rFonts w:hint="eastAsia" w:ascii="仿宋_GB2312" w:hAnsi="sinmsun" w:eastAsia="仿宋_GB2312"/>
          <w:sz w:val="32"/>
          <w:szCs w:val="32"/>
          <w:shd w:val="clear" w:color="auto" w:fill="FFFFFF"/>
        </w:rPr>
        <w:t>第六届湖北省道德模范致敬礼，</w:t>
      </w:r>
      <w:r>
        <w:rPr>
          <w:rFonts w:hint="eastAsia" w:ascii="仿宋_GB2312" w:eastAsia="仿宋_GB2312"/>
          <w:sz w:val="32"/>
          <w:szCs w:val="32"/>
        </w:rPr>
        <w:t>参与中国好人榜投票评议活动，开展宣传“</w:t>
      </w:r>
      <w:r>
        <w:rPr>
          <w:rFonts w:hint="eastAsia" w:ascii="仿宋_GB2312" w:hAnsi="Calibri" w:eastAsia="仿宋_GB2312"/>
          <w:sz w:val="32"/>
          <w:szCs w:val="32"/>
        </w:rPr>
        <w:t>迎军运 讲文明 树新风</w:t>
      </w:r>
      <w:r>
        <w:rPr>
          <w:rFonts w:hint="eastAsia" w:ascii="仿宋_GB2312" w:eastAsia="仿宋_GB2312"/>
          <w:sz w:val="32"/>
          <w:szCs w:val="32"/>
        </w:rPr>
        <w:t>”，</w:t>
      </w:r>
      <w:r>
        <w:rPr>
          <w:rFonts w:hint="eastAsia" w:ascii="仿宋_GB2312" w:hAnsi="sinmsun" w:eastAsia="仿宋_GB2312"/>
          <w:sz w:val="32"/>
          <w:szCs w:val="32"/>
          <w:shd w:val="clear" w:color="auto" w:fill="FFFFFF"/>
        </w:rPr>
        <w:t>扎实</w:t>
      </w:r>
      <w:r>
        <w:rPr>
          <w:rFonts w:hint="eastAsia" w:ascii="仿宋_GB2312" w:eastAsia="仿宋_GB2312"/>
          <w:sz w:val="32"/>
          <w:szCs w:val="32"/>
        </w:rPr>
        <w:t>开展公共场所控烟活动，</w:t>
      </w:r>
      <w:r>
        <w:rPr>
          <w:rFonts w:hint="eastAsia" w:ascii="仿宋_GB2312" w:hAnsi="仿宋" w:eastAsia="仿宋_GB2312"/>
          <w:sz w:val="32"/>
          <w:szCs w:val="32"/>
        </w:rPr>
        <w:t>深入共建社区、综治联系点、对口扶贫点开展关爱慰问、志愿活动。</w:t>
      </w:r>
      <w:r>
        <w:rPr>
          <w:rFonts w:hint="eastAsia" w:ascii="仿宋_GB2312" w:eastAsia="仿宋_GB2312"/>
          <w:sz w:val="32"/>
          <w:szCs w:val="32"/>
        </w:rPr>
        <w:t>武汉市文明网肯定我们开展</w:t>
      </w:r>
      <w:r>
        <w:rPr>
          <w:rFonts w:hint="eastAsia" w:ascii="仿宋_GB2312" w:eastAsia="仿宋_GB2312"/>
          <w:sz w:val="32"/>
          <w:szCs w:val="32"/>
          <w:lang w:eastAsia="zh-CN"/>
        </w:rPr>
        <w:t>庆祝</w:t>
      </w:r>
      <w:r>
        <w:rPr>
          <w:rFonts w:hint="eastAsia" w:ascii="仿宋_GB2312" w:eastAsia="仿宋_GB2312"/>
          <w:sz w:val="32"/>
          <w:szCs w:val="32"/>
        </w:rPr>
        <w:t>改革开放40周年活动做法。区发改委被武汉市授予“无烟单位”称号。加强和督促人口计生工作，全委无计划外生育。全面实现“无吸毒人员、无犯罪发生、无帮教人员”目标。</w:t>
      </w:r>
    </w:p>
    <w:p>
      <w:pPr>
        <w:spacing w:line="600" w:lineRule="exact"/>
        <w:ind w:firstLine="709" w:firstLineChars="221"/>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四、全面从严治党方面</w:t>
      </w:r>
    </w:p>
    <w:p>
      <w:pPr>
        <w:pStyle w:val="14"/>
        <w:spacing w:line="600" w:lineRule="exact"/>
        <w:ind w:firstLine="629" w:firstLineChars="196"/>
        <w:rPr>
          <w:rFonts w:ascii="仿宋_GB2312" w:hAnsi="仿宋" w:eastAsia="仿宋_GB2312" w:cs="仿宋"/>
          <w:sz w:val="32"/>
          <w:szCs w:val="32"/>
        </w:rPr>
      </w:pPr>
      <w:r>
        <w:rPr>
          <w:rFonts w:hint="eastAsia" w:ascii="楷体_GB2312" w:hAnsi="Times New Roman" w:eastAsia="楷体_GB2312" w:cs="Times New Roman"/>
          <w:b/>
          <w:sz w:val="32"/>
          <w:szCs w:val="32"/>
        </w:rPr>
        <w:t>1、抓主体责任。</w:t>
      </w:r>
      <w:r>
        <w:rPr>
          <w:rFonts w:hint="eastAsia" w:ascii="仿宋_GB2312" w:eastAsia="仿宋_GB2312"/>
          <w:sz w:val="32"/>
          <w:szCs w:val="32"/>
        </w:rPr>
        <w:t>党委定期分析研判从严治党形势，先后10次研究从严治党有关工作，党委书记认真履行“第一责任人”责任，班子其他成员严格履行“一岗双责”。注重压力传导，党委书记与班子成员、班子成员与分管科室签订党风廉政建设责任书。针对“双评议”活动中暴露的作风问题，在全委开展思想作风纪律整顿，强化群众观念，提升服务质量。《人民日报》对此进行了正面报道。</w:t>
      </w:r>
    </w:p>
    <w:p>
      <w:pPr>
        <w:spacing w:line="600" w:lineRule="exact"/>
        <w:ind w:firstLine="642" w:firstLineChars="200"/>
        <w:rPr>
          <w:rFonts w:ascii="仿宋_GB2312" w:hAnsi="仿宋" w:eastAsia="仿宋_GB2312" w:cs="Times New Roman"/>
          <w:sz w:val="32"/>
          <w:szCs w:val="32"/>
        </w:rPr>
      </w:pPr>
      <w:r>
        <w:rPr>
          <w:rFonts w:hint="eastAsia" w:ascii="楷体_GB2312" w:hAnsi="Times New Roman" w:eastAsia="楷体_GB2312" w:cs="Times New Roman"/>
          <w:b/>
          <w:sz w:val="32"/>
          <w:szCs w:val="32"/>
        </w:rPr>
        <w:t>2、抓巡查整改。</w:t>
      </w:r>
      <w:r>
        <w:rPr>
          <w:rFonts w:hint="eastAsia" w:ascii="仿宋_GB2312" w:eastAsia="仿宋_GB2312"/>
          <w:sz w:val="32"/>
          <w:szCs w:val="32"/>
        </w:rPr>
        <w:t>针对2017年区委巡察组对区发改委巡察提出16个问题（面上10个问题）的整改意见，成立了以党委书记为组长的整改落实工作领导小组，将任务分解细化，明确时间节点和路线图、责任领导，倒排工期进行整改。2018年5月和12月相继接受区委巡察整改“回头看”检查和督查督办，6月接受省委巡视组对整改落实情况的检查。截止2018年底，整改完成率达80%，整改成效满意率达99.5%。</w:t>
      </w:r>
    </w:p>
    <w:p>
      <w:pPr>
        <w:spacing w:line="600" w:lineRule="exact"/>
        <w:ind w:firstLine="642" w:firstLineChars="200"/>
        <w:rPr>
          <w:rFonts w:ascii="仿宋_GB2312" w:hAnsi="仿宋" w:eastAsia="仿宋_GB2312" w:cs="Times New Roman"/>
          <w:sz w:val="32"/>
          <w:szCs w:val="32"/>
        </w:rPr>
      </w:pPr>
      <w:r>
        <w:rPr>
          <w:rFonts w:hint="eastAsia" w:ascii="楷体_GB2312" w:hAnsi="Times New Roman" w:eastAsia="楷体_GB2312" w:cs="Times New Roman"/>
          <w:b/>
          <w:sz w:val="32"/>
          <w:szCs w:val="32"/>
        </w:rPr>
        <w:t>3、抓思想引导。</w:t>
      </w:r>
      <w:r>
        <w:rPr>
          <w:rFonts w:hint="eastAsia" w:ascii="仿宋_GB2312" w:eastAsia="仿宋_GB2312"/>
          <w:sz w:val="32"/>
          <w:szCs w:val="32"/>
        </w:rPr>
        <w:t>严格落实意识形态责任制，党委中心组围绕“学习习近平新时代中国特色社会主义思想，高质量谋划洪山区发展”这一主题，做到在正面灌输中统一思想，在讨论剖析中提高认识，在学做结合中推动发展。各党支部通过组织党员戴</w:t>
      </w:r>
      <w:r>
        <w:rPr>
          <w:rFonts w:hint="eastAsia" w:ascii="仿宋_GB2312" w:eastAsia="仿宋_GB2312"/>
          <w:sz w:val="32"/>
          <w:szCs w:val="32"/>
          <w:lang w:eastAsia="zh-CN"/>
        </w:rPr>
        <w:t>党员</w:t>
      </w:r>
      <w:r>
        <w:rPr>
          <w:rFonts w:hint="eastAsia" w:ascii="仿宋_GB2312" w:eastAsia="仿宋_GB2312"/>
          <w:sz w:val="32"/>
          <w:szCs w:val="32"/>
        </w:rPr>
        <w:t>党徽、带党章、交党费，重温入党誓词，采取理论宣讲、专题研讨形式，强化党员学习教育。全年组织专题学习12次，专题讨论5次，撰写学习心得体会80多篇。达到了坚定政治方向、维护政治生态的效果和目的。</w:t>
      </w:r>
    </w:p>
    <w:p>
      <w:pPr>
        <w:spacing w:line="600" w:lineRule="exact"/>
        <w:ind w:firstLine="642" w:firstLineChars="200"/>
        <w:rPr>
          <w:rFonts w:ascii="仿宋_GB2312" w:hAnsi="仿宋" w:eastAsia="仿宋_GB2312" w:cs="Times New Roman"/>
          <w:sz w:val="32"/>
          <w:szCs w:val="32"/>
        </w:rPr>
      </w:pPr>
      <w:r>
        <w:rPr>
          <w:rFonts w:hint="eastAsia" w:ascii="楷体_GB2312" w:hAnsi="Times New Roman" w:eastAsia="楷体_GB2312" w:cs="Times New Roman"/>
          <w:b/>
          <w:sz w:val="32"/>
          <w:szCs w:val="32"/>
        </w:rPr>
        <w:t>4、抓组织建设。</w:t>
      </w:r>
      <w:r>
        <w:rPr>
          <w:rFonts w:hint="eastAsia" w:ascii="仿宋_GB2312" w:eastAsia="仿宋_GB2312"/>
          <w:sz w:val="32"/>
          <w:szCs w:val="32"/>
        </w:rPr>
        <w:t>深化“两学一做”学习教育，坚</w:t>
      </w:r>
      <w:r>
        <w:rPr>
          <w:rFonts w:hint="eastAsia" w:ascii="仿宋_GB2312" w:hAnsi="Times New Roman" w:eastAsia="仿宋_GB2312" w:cs="Times New Roman"/>
          <w:sz w:val="32"/>
          <w:szCs w:val="32"/>
        </w:rPr>
        <w:t>持用党章党规规范党组织和党员行为，用习近平新时代中国特色社会主义思想武装头脑、指导实践、推动工作。扎实推进“红色引擎工程”，</w:t>
      </w:r>
      <w:r>
        <w:rPr>
          <w:rFonts w:hint="eastAsia" w:ascii="仿宋_GB2312" w:hAnsi="仿宋_GB2312" w:eastAsia="仿宋_GB2312" w:cs="仿宋_GB2312"/>
          <w:sz w:val="32"/>
          <w:szCs w:val="32"/>
        </w:rPr>
        <w:t>认真开展党员到社区报到、慰问困难党员、在职党员“双认领”、评议党员等工作。</w:t>
      </w:r>
      <w:r>
        <w:rPr>
          <w:rFonts w:hint="eastAsia" w:ascii="仿宋_GB2312" w:hAnsi="Times New Roman" w:eastAsia="仿宋_GB2312" w:cs="Times New Roman"/>
          <w:sz w:val="32"/>
          <w:szCs w:val="32"/>
        </w:rPr>
        <w:t>结合民主生活会和组织生活会开展批评教育，引导广大党员做到“四个合格”。按照组织建设要求，做好了物价、粮办和3个老干支部换届工作。认真落实了巩固和爱国统一战线工作。</w:t>
      </w:r>
    </w:p>
    <w:p>
      <w:pPr>
        <w:spacing w:line="600" w:lineRule="exact"/>
        <w:ind w:firstLine="642" w:firstLineChars="200"/>
        <w:rPr>
          <w:rFonts w:ascii="仿宋_GB2312" w:hAnsi="仿宋" w:eastAsia="仿宋_GB2312" w:cs="Times New Roman"/>
          <w:sz w:val="32"/>
          <w:szCs w:val="32"/>
        </w:rPr>
      </w:pPr>
      <w:r>
        <w:rPr>
          <w:rFonts w:hint="eastAsia" w:ascii="楷体_GB2312" w:hAnsi="Times New Roman" w:eastAsia="楷体_GB2312" w:cs="Times New Roman"/>
          <w:b/>
          <w:sz w:val="32"/>
          <w:szCs w:val="32"/>
        </w:rPr>
        <w:t>5、抓廉政建设。</w:t>
      </w:r>
      <w:r>
        <w:rPr>
          <w:rFonts w:hint="eastAsia" w:ascii="仿宋_GB2312" w:hAnsi="仿宋" w:eastAsia="仿宋_GB2312" w:cs="Times New Roman"/>
          <w:sz w:val="32"/>
          <w:szCs w:val="32"/>
        </w:rPr>
        <w:t>坚持落实党风廉政建设“两个责任”，组织签订党风廉政建设责任书，明确责任和目标；组织学习《</w:t>
      </w:r>
      <w:r>
        <w:rPr>
          <w:rFonts w:hint="eastAsia" w:ascii="仿宋_GB2312" w:hAnsi="仿宋" w:eastAsia="仿宋_GB2312" w:cs="Times New Roman"/>
          <w:sz w:val="32"/>
          <w:szCs w:val="32"/>
          <w:lang w:eastAsia="zh-CN"/>
        </w:rPr>
        <w:t>中国共产党章程</w:t>
      </w:r>
      <w:r>
        <w:rPr>
          <w:rFonts w:hint="eastAsia" w:ascii="仿宋_GB2312" w:hAnsi="仿宋" w:eastAsia="仿宋_GB2312" w:cs="Times New Roman"/>
          <w:sz w:val="32"/>
          <w:szCs w:val="32"/>
        </w:rPr>
        <w:t>》、《中华人民共和国监察法》、《</w:t>
      </w:r>
      <w:r>
        <w:rPr>
          <w:rFonts w:hint="eastAsia" w:ascii="仿宋_GB2312" w:hAnsi="仿宋" w:eastAsia="仿宋_GB2312" w:cs="Times New Roman"/>
          <w:sz w:val="32"/>
          <w:szCs w:val="32"/>
          <w:lang w:eastAsia="zh-CN"/>
        </w:rPr>
        <w:t>中国共产党</w:t>
      </w:r>
      <w:r>
        <w:rPr>
          <w:rFonts w:hint="eastAsia" w:ascii="仿宋_GB2312" w:hAnsi="仿宋" w:eastAsia="仿宋_GB2312" w:cs="Times New Roman"/>
          <w:sz w:val="32"/>
          <w:szCs w:val="32"/>
        </w:rPr>
        <w:t>纪律处分条例》，把省市区三级纪检部门转发的问题通报整理成册，下发党委班子成员和各党支部作为警示教材学习，</w:t>
      </w:r>
      <w:r>
        <w:rPr>
          <w:rFonts w:hint="eastAsia" w:ascii="仿宋_GB2312" w:hAnsi="Times New Roman" w:eastAsia="仿宋_GB2312" w:cs="Times New Roman"/>
          <w:color w:val="000000"/>
          <w:sz w:val="32"/>
          <w:szCs w:val="32"/>
        </w:rPr>
        <w:t>健全完善了《区发改委工作制度汇编》，积极支持配合区纪委二分局开展纪检监察工作。党委班子做到如实报告个人事项。</w:t>
      </w:r>
    </w:p>
    <w:tbl>
      <w:tblPr>
        <w:tblStyle w:val="6"/>
        <w:tblpPr w:leftFromText="180" w:rightFromText="180" w:vertAnchor="text" w:horzAnchor="margin" w:tblpY="445"/>
        <w:tblW w:w="0" w:type="auto"/>
        <w:tblInd w:w="0" w:type="dxa"/>
        <w:tblLayout w:type="autofit"/>
        <w:tblCellMar>
          <w:top w:w="0" w:type="dxa"/>
          <w:left w:w="0" w:type="dxa"/>
          <w:bottom w:w="0" w:type="dxa"/>
          <w:right w:w="0" w:type="dxa"/>
        </w:tblCellMar>
      </w:tblPr>
      <w:tblGrid>
        <w:gridCol w:w="1255"/>
        <w:gridCol w:w="1843"/>
        <w:gridCol w:w="2818"/>
        <w:gridCol w:w="2607"/>
      </w:tblGrid>
      <w:tr>
        <w:tblPrEx>
          <w:tblCellMar>
            <w:top w:w="0" w:type="dxa"/>
            <w:left w:w="0" w:type="dxa"/>
            <w:bottom w:w="0" w:type="dxa"/>
            <w:right w:w="0" w:type="dxa"/>
          </w:tblCellMar>
        </w:tblPrEx>
        <w:trPr>
          <w:trHeight w:val="1026" w:hRule="atLeast"/>
        </w:trPr>
        <w:tc>
          <w:tcPr>
            <w:tcW w:w="1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重要事项</w:t>
            </w:r>
          </w:p>
        </w:tc>
        <w:tc>
          <w:tcPr>
            <w:tcW w:w="28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工作内容及目标</w:t>
            </w:r>
          </w:p>
        </w:tc>
        <w:tc>
          <w:tcPr>
            <w:tcW w:w="2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完成情况</w:t>
            </w:r>
          </w:p>
        </w:tc>
      </w:tr>
      <w:tr>
        <w:tblPrEx>
          <w:tblCellMar>
            <w:top w:w="0" w:type="dxa"/>
            <w:left w:w="0" w:type="dxa"/>
            <w:bottom w:w="0" w:type="dxa"/>
            <w:right w:w="0" w:type="dxa"/>
          </w:tblCellMar>
        </w:tblPrEx>
        <w:trPr>
          <w:trHeight w:val="906" w:hRule="atLeast"/>
        </w:trPr>
        <w:tc>
          <w:tcPr>
            <w:tcW w:w="1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color w:val="000000"/>
                <w:sz w:val="21"/>
                <w:szCs w:val="21"/>
              </w:rPr>
              <w:t>强化理论武装，深入学习</w:t>
            </w:r>
            <w:r>
              <w:rPr>
                <w:rFonts w:hint="eastAsia"/>
                <w:color w:val="000000"/>
                <w:sz w:val="21"/>
                <w:szCs w:val="21"/>
                <w:lang w:eastAsia="zh-CN"/>
              </w:rPr>
              <w:t>贯彻党的十九大</w:t>
            </w:r>
            <w:r>
              <w:rPr>
                <w:rFonts w:hint="eastAsia"/>
                <w:color w:val="000000"/>
                <w:sz w:val="21"/>
                <w:szCs w:val="21"/>
              </w:rPr>
              <w:t>精神 </w:t>
            </w:r>
            <w:r>
              <w:rPr>
                <w:rFonts w:hint="eastAsia" w:asciiTheme="majorEastAsia" w:hAnsiTheme="majorEastAsia" w:eastAsiaTheme="majorEastAsia"/>
                <w:sz w:val="21"/>
                <w:szCs w:val="21"/>
              </w:rPr>
              <w:t> </w:t>
            </w:r>
          </w:p>
        </w:tc>
        <w:tc>
          <w:tcPr>
            <w:tcW w:w="28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color w:val="000000"/>
                <w:sz w:val="21"/>
                <w:szCs w:val="21"/>
              </w:rPr>
              <w:t>切实贯彻区委、区政府决策部署，以党的十九大召开为契机，通过个人自学、中心组研学等形式，认真学习党的十九大报告、《习近平谈治国理政》，切实把全委思想和行动统一到习近平新时代中国特色社会主义思想上来。 </w:t>
            </w:r>
            <w:r>
              <w:rPr>
                <w:rFonts w:hint="eastAsia" w:asciiTheme="majorEastAsia" w:hAnsiTheme="majorEastAsia" w:eastAsiaTheme="majorEastAsia"/>
                <w:sz w:val="21"/>
                <w:szCs w:val="21"/>
              </w:rPr>
              <w:t> </w:t>
            </w:r>
          </w:p>
        </w:tc>
        <w:tc>
          <w:tcPr>
            <w:tcW w:w="2607"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完成 </w:t>
            </w:r>
          </w:p>
        </w:tc>
      </w:tr>
      <w:tr>
        <w:tblPrEx>
          <w:tblCellMar>
            <w:top w:w="0" w:type="dxa"/>
            <w:left w:w="0" w:type="dxa"/>
            <w:bottom w:w="0" w:type="dxa"/>
            <w:right w:w="0" w:type="dxa"/>
          </w:tblCellMar>
        </w:tblPrEx>
        <w:trPr>
          <w:trHeight w:val="932" w:hRule="atLeast"/>
        </w:trPr>
        <w:tc>
          <w:tcPr>
            <w:tcW w:w="1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color w:val="000000"/>
                <w:sz w:val="21"/>
                <w:szCs w:val="21"/>
              </w:rPr>
              <w:t>遵守政治纪律和规矩</w:t>
            </w:r>
            <w:r>
              <w:rPr>
                <w:rFonts w:hint="eastAsia" w:asciiTheme="majorEastAsia" w:hAnsiTheme="majorEastAsia" w:eastAsiaTheme="majorEastAsia"/>
                <w:sz w:val="21"/>
                <w:szCs w:val="21"/>
              </w:rPr>
              <w:t> </w:t>
            </w:r>
          </w:p>
        </w:tc>
        <w:tc>
          <w:tcPr>
            <w:tcW w:w="28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color w:val="000000"/>
                <w:sz w:val="21"/>
                <w:szCs w:val="21"/>
              </w:rPr>
              <w:t>扎实开展“两学一做”学习教育，按照党支部“三会一课”制度要求，切实抓好学习教育的落实，接受巡查并进行整改；在每个党支部设立了纪检委员，健全《限时办结制度》、《请销假制度》、《财务管理制度》等工作制度扎实抓好整改落实。</w:t>
            </w:r>
            <w:r>
              <w:rPr>
                <w:rFonts w:hint="eastAsia" w:asciiTheme="majorEastAsia" w:hAnsiTheme="majorEastAsia" w:eastAsiaTheme="majorEastAsia"/>
                <w:sz w:val="21"/>
                <w:szCs w:val="21"/>
              </w:rPr>
              <w:t> </w:t>
            </w:r>
          </w:p>
        </w:tc>
        <w:tc>
          <w:tcPr>
            <w:tcW w:w="2607"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完成</w:t>
            </w:r>
          </w:p>
        </w:tc>
      </w:tr>
      <w:tr>
        <w:tblPrEx>
          <w:tblCellMar>
            <w:top w:w="0" w:type="dxa"/>
            <w:left w:w="0" w:type="dxa"/>
            <w:bottom w:w="0" w:type="dxa"/>
            <w:right w:w="0" w:type="dxa"/>
          </w:tblCellMar>
        </w:tblPrEx>
        <w:trPr>
          <w:trHeight w:val="1227" w:hRule="atLeast"/>
        </w:trPr>
        <w:tc>
          <w:tcPr>
            <w:tcW w:w="1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color w:val="000000"/>
                <w:sz w:val="21"/>
                <w:szCs w:val="21"/>
              </w:rPr>
              <w:t>着力加强经济运行管理</w:t>
            </w:r>
          </w:p>
        </w:tc>
        <w:tc>
          <w:tcPr>
            <w:tcW w:w="281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600" w:lineRule="exact"/>
              <w:ind w:firstLine="415" w:firstLineChars="198"/>
              <w:rPr>
                <w:rFonts w:ascii="仿宋_GB2312" w:eastAsia="仿宋_GB2312"/>
                <w:sz w:val="21"/>
                <w:szCs w:val="21"/>
              </w:rPr>
            </w:pPr>
            <w:r>
              <w:rPr>
                <w:rFonts w:hint="eastAsia" w:ascii="仿宋_GB2312" w:eastAsia="仿宋_GB2312"/>
                <w:sz w:val="21"/>
                <w:szCs w:val="21"/>
              </w:rPr>
              <w:t>结合我委承担GDP增长率、服务业增加值、固定资产投资等主要经济目标，及时搞好调度、协调和监管，确保各项指标有序推进。预计全年完成地区生产总值1044亿元，同比增长9%；全社会固定资产投资同比增长13%；全年服务业同比增长9%，营利性服务业增幅12.9%。城镇居民人均可支配收入与经济增长保持同步。完成年度招商引资任务。第一季度因成绩突出，在武汉市拼搏赶超会上作正面经验交流。</w:t>
            </w:r>
          </w:p>
        </w:tc>
        <w:tc>
          <w:tcPr>
            <w:tcW w:w="2607"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58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完成</w:t>
            </w:r>
          </w:p>
        </w:tc>
      </w:tr>
    </w:tbl>
    <w:p>
      <w:pPr>
        <w:snapToGrid w:val="0"/>
        <w:spacing w:before="100" w:beforeAutospacing="1" w:after="100" w:afterAutospacing="1" w:line="580" w:lineRule="atLeast"/>
        <w:ind w:firstLine="640"/>
        <w:rPr>
          <w:rFonts w:asciiTheme="majorEastAsia" w:hAnsiTheme="majorEastAsia" w:eastAsiaTheme="majorEastAsia"/>
          <w:sz w:val="32"/>
          <w:szCs w:val="32"/>
        </w:rPr>
      </w:pP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bookmarkStart w:id="0" w:name="_GoBack"/>
      <w:bookmarkEnd w:id="0"/>
    </w:p>
    <w:p>
      <w:pPr>
        <w:snapToGrid w:val="0"/>
        <w:spacing w:before="100" w:beforeAutospacing="1" w:after="100" w:afterAutospacing="1"/>
        <w:jc w:val="center"/>
        <w:rPr>
          <w:rFonts w:asciiTheme="majorEastAsia" w:hAnsiTheme="majorEastAsia" w:eastAsiaTheme="majorEastAsia"/>
          <w:sz w:val="32"/>
          <w:szCs w:val="32"/>
        </w:rPr>
      </w:pPr>
      <w:r>
        <w:rPr>
          <w:rFonts w:hint="eastAsia" w:asciiTheme="majorEastAsia" w:hAnsiTheme="majorEastAsia" w:eastAsiaTheme="majorEastAsia"/>
          <w:b/>
          <w:bCs/>
          <w:sz w:val="32"/>
          <w:szCs w:val="32"/>
        </w:rPr>
        <w:t>第五部分  名词解释</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(一)财政拨款收入：指单位从本级财政部门取得的财政拨款。</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(二)上级补助收入：指从主管部门和上级单位取得的非财政补助收入。</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(三)事业收入：指事业单位开展专业业务活动及其辅助活动取得的收入。</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(四)经营收入：指事业单位在专业业务活动及其辅助活动之外开展非独立核算经营活动取得的收入。</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五)其他收入：单位取得的除上述收入以外的各项收入，包括未纳入财政预算或财政专户管理的投资收益、银行存款利息收入、租金收入、捐赠收入，现金盘盈收入、存货盘盈收入、收回已核销应收及预付款项、无法偿付的应付及预收款项等。</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六)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(七)年初结转和结余：指以前年度尚未完成、结转到本年按有关规定继续使用的资金。</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(八)各支出功能分类科目(到项级)</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1.一般公共服务(类)财政事务(款)行政运行(项)</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0"/>
          <w:szCs w:val="30"/>
        </w:rPr>
        <w:t>发</w:t>
      </w:r>
      <w:r>
        <w:rPr>
          <w:rFonts w:hint="eastAsia" w:asciiTheme="majorEastAsia" w:hAnsiTheme="majorEastAsia" w:eastAsiaTheme="majorEastAsia"/>
          <w:sz w:val="32"/>
          <w:szCs w:val="32"/>
        </w:rPr>
        <w:t xml:space="preserve">展与改革事务  </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反映发展与改革事务方面的支出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（1）行政运行</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反映行政单位（包括实行公务员管理的事业单位）的基本支出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（2） 一般行政管理事务</w:t>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反映行政单位（包括实行公务员管理的事业单位）未单独设置项级科目的其他项目支出。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（3） 战略规划与实施</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反映拟订并组织实施国民经济和社会发展战略、中长期规划和年度计划，实施宏观管理与调控等方面的支出。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（4）日常经济运行调节</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反映日常经济运行调节方面的支出。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（5）社会事业发展规划</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反映社会事业发展规划方面的支出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（6）物价管理</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反映物价管理方面的支出。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（7）事业运行</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反映事业单位的基本支出，不包括行政单位（包括实行公务员管理的事业单位）后勤服务中心、医务室等附属事业单位。</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（8）其他发展与改革事务支出</w:t>
      </w:r>
      <w:r>
        <w:rPr>
          <w:rFonts w:asciiTheme="majorEastAsia" w:hAnsiTheme="majorEastAsia" w:eastAsiaTheme="majorEastAsia"/>
          <w:sz w:val="32"/>
          <w:szCs w:val="32"/>
        </w:rPr>
        <w:tab/>
      </w:r>
    </w:p>
    <w:p>
      <w:pPr>
        <w:snapToGrid w:val="0"/>
        <w:spacing w:before="100" w:beforeAutospacing="1" w:after="100" w:afterAutospacing="1" w:line="580" w:lineRule="atLeast"/>
        <w:ind w:firstLine="640"/>
        <w:rPr>
          <w:rFonts w:asciiTheme="majorEastAsia" w:hAnsiTheme="majorEastAsia" w:eastAsiaTheme="majorEastAsia"/>
          <w:sz w:val="30"/>
          <w:szCs w:val="30"/>
        </w:rPr>
      </w:pPr>
      <w:r>
        <w:rPr>
          <w:rFonts w:hint="eastAsia" w:asciiTheme="majorEastAsia" w:hAnsiTheme="majorEastAsia" w:eastAsiaTheme="majorEastAsia"/>
          <w:sz w:val="32"/>
          <w:szCs w:val="32"/>
        </w:rPr>
        <w:t>反映除上述项目以外的其他发展与改革事务</w:t>
      </w:r>
      <w:r>
        <w:rPr>
          <w:rFonts w:hint="eastAsia" w:asciiTheme="majorEastAsia" w:hAnsiTheme="majorEastAsia" w:eastAsiaTheme="majorEastAsia"/>
          <w:sz w:val="30"/>
          <w:szCs w:val="30"/>
        </w:rPr>
        <w:t>支出。</w:t>
      </w:r>
    </w:p>
    <w:p>
      <w:pPr>
        <w:tabs>
          <w:tab w:val="left" w:pos="429"/>
          <w:tab w:val="left" w:pos="2555"/>
        </w:tabs>
        <w:spacing w:line="400" w:lineRule="exact"/>
        <w:rPr>
          <w:rFonts w:ascii="黑体" w:hAnsi="黑体" w:eastAsia="黑体"/>
          <w:sz w:val="28"/>
          <w:szCs w:val="28"/>
        </w:rPr>
      </w:pPr>
      <w:r>
        <w:rPr>
          <w:rFonts w:hint="eastAsia" w:asciiTheme="majorEastAsia" w:hAnsiTheme="majorEastAsia" w:eastAsiaTheme="majorEastAsia"/>
          <w:sz w:val="32"/>
          <w:szCs w:val="32"/>
        </w:rPr>
        <w:t xml:space="preserve"> (9)结余分配：指事业单位按照会计制度规定缴纳的所得税</w:t>
      </w:r>
    </w:p>
    <w:p>
      <w:pPr>
        <w:tabs>
          <w:tab w:val="left" w:pos="429"/>
          <w:tab w:val="left" w:pos="2555"/>
        </w:tabs>
        <w:spacing w:line="400" w:lineRule="exact"/>
        <w:rPr>
          <w:rFonts w:asciiTheme="majorEastAsia" w:hAnsiTheme="majorEastAsia" w:eastAsiaTheme="majorEastAsia"/>
          <w:sz w:val="32"/>
          <w:szCs w:val="32"/>
        </w:rPr>
      </w:pPr>
    </w:p>
    <w:p>
      <w:pPr>
        <w:tabs>
          <w:tab w:val="left" w:pos="429"/>
          <w:tab w:val="left" w:pos="2555"/>
        </w:tabs>
        <w:spacing w:line="400" w:lineRule="exact"/>
        <w:rPr>
          <w:rFonts w:ascii="黑体" w:hAnsi="黑体" w:eastAsia="黑体"/>
          <w:sz w:val="28"/>
          <w:szCs w:val="28"/>
        </w:rPr>
      </w:pPr>
      <w:r>
        <w:rPr>
          <w:rFonts w:hint="eastAsia" w:asciiTheme="majorEastAsia" w:hAnsiTheme="majorEastAsia" w:eastAsiaTheme="majorEastAsia"/>
          <w:sz w:val="32"/>
          <w:szCs w:val="32"/>
        </w:rPr>
        <w:t>以及从非财政补助结余中提取的职工福利基金、事业基金等。</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黑体" w:hAnsi="黑体" w:eastAsia="黑体"/>
          <w:sz w:val="28"/>
          <w:szCs w:val="28"/>
        </w:rPr>
        <w:t>（10）</w:t>
      </w:r>
      <w:r>
        <w:rPr>
          <w:rFonts w:hint="eastAsia" w:asciiTheme="majorEastAsia" w:hAnsiTheme="majorEastAsia" w:eastAsiaTheme="majorEastAsia"/>
          <w:sz w:val="32"/>
          <w:szCs w:val="32"/>
        </w:rPr>
        <w:t>年末结转和结余：指单位按有关规定结转到下年或以后年度继续使用的资金。</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(11)基本支出：指单位为保障其机构正常运转、完成日常工作任务而发生的人员支出和公用支出。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(12)项目支出：指单位为完成特定行政任务和事业发展目标在基本支出之外所发生的支出。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(13)经营支出：指事业单位在专业活动及辅助活动之外开展非独立核算经营活动发生的支出。</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(14)“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费用。</w:t>
      </w:r>
    </w:p>
    <w:p>
      <w:pPr>
        <w:snapToGrid w:val="0"/>
        <w:spacing w:before="100" w:beforeAutospacing="1" w:after="100" w:afterAutospacing="1" w:line="580" w:lineRule="atLeast"/>
        <w:rPr>
          <w:rFonts w:asciiTheme="majorEastAsia" w:hAnsiTheme="majorEastAsia" w:eastAsiaTheme="majorEastAsia"/>
          <w:sz w:val="32"/>
          <w:szCs w:val="32"/>
        </w:rPr>
      </w:pPr>
      <w:r>
        <w:rPr>
          <w:rFonts w:hint="eastAsia" w:asciiTheme="majorEastAsia" w:hAnsiTheme="majorEastAsia" w:eastAsiaTheme="majorEastAsia"/>
          <w:sz w:val="32"/>
          <w:szCs w:val="32"/>
        </w:rPr>
        <w:t>(15)机 关运行经费：指为保障行政单位（含参照公务员法管理的事业单位）运行用于购买货物和服务的各项资金，包括办公及印刷费、邮电费、差旅费、会议费、福利费、 日常维修费、专用材料及一般设备购置费、办公用房水电费、办公用房物业管理费、委托业务费、公务用车运行维护费以及其他费用。</w:t>
      </w: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(16)各单位其他专用名词解释。</w:t>
      </w:r>
    </w:p>
    <w:p>
      <w:pPr>
        <w:snapToGrid w:val="0"/>
        <w:spacing w:before="100" w:beforeAutospacing="1" w:after="100" w:afterAutospacing="1"/>
        <w:rPr>
          <w:rFonts w:asciiTheme="majorEastAsia" w:hAnsiTheme="majorEastAsia" w:eastAsiaTheme="majorEastAsia"/>
          <w:sz w:val="32"/>
          <w:szCs w:val="32"/>
        </w:rPr>
      </w:pPr>
      <w:r>
        <w:rPr>
          <w:rFonts w:hint="eastAsia" w:asciiTheme="majorEastAsia" w:hAnsiTheme="majorEastAsia" w:eastAsiaTheme="majorEastAsia"/>
          <w:sz w:val="32"/>
          <w:szCs w:val="32"/>
        </w:rPr>
        <w:t>咨询电话：027-87678135      </w:t>
      </w:r>
    </w:p>
    <w:p>
      <w:pPr>
        <w:pStyle w:val="5"/>
        <w:snapToGrid w:val="0"/>
        <w:rPr>
          <w:rFonts w:asciiTheme="majorEastAsia" w:hAnsiTheme="majorEastAsia" w:eastAsiaTheme="majorEastAsia"/>
          <w:sz w:val="32"/>
          <w:szCs w:val="32"/>
        </w:rPr>
      </w:pPr>
      <w:r>
        <w:rPr>
          <w:rFonts w:hint="eastAsia" w:asciiTheme="majorEastAsia" w:hAnsiTheme="majorEastAsia" w:eastAsiaTheme="majorEastAsia"/>
          <w:sz w:val="32"/>
          <w:szCs w:val="32"/>
        </w:rPr>
        <w:t>附件：                         </w:t>
      </w:r>
    </w:p>
    <w:p>
      <w:pPr>
        <w:pStyle w:val="5"/>
        <w:snapToGrid w:val="0"/>
        <w:jc w:val="center"/>
        <w:rPr>
          <w:rFonts w:asciiTheme="majorEastAsia" w:hAnsiTheme="majorEastAsia" w:eastAsiaTheme="majorEastAsia"/>
          <w:sz w:val="32"/>
          <w:szCs w:val="32"/>
        </w:rPr>
      </w:pPr>
      <w:r>
        <w:rPr>
          <w:rStyle w:val="8"/>
          <w:rFonts w:hint="eastAsia" w:asciiTheme="majorEastAsia" w:hAnsiTheme="majorEastAsia" w:eastAsiaTheme="majorEastAsia"/>
          <w:sz w:val="32"/>
          <w:szCs w:val="32"/>
        </w:rPr>
        <w:t>（武汉市洪山区发展和改革委员会）项目支出绩效自评报告</w:t>
      </w:r>
    </w:p>
    <w:p>
      <w:pPr>
        <w:ind w:firstLine="600"/>
        <w:rPr>
          <w:rFonts w:cs="Times New Roman" w:asciiTheme="majorEastAsia" w:hAnsiTheme="majorEastAsia" w:eastAsiaTheme="majorEastAsia"/>
          <w:color w:val="000000"/>
          <w:sz w:val="32"/>
          <w:szCs w:val="32"/>
        </w:rPr>
      </w:pPr>
      <w:r>
        <w:rPr>
          <w:rFonts w:hint="eastAsia"/>
        </w:rPr>
        <w:t> </w:t>
      </w:r>
      <w:r>
        <w:rPr>
          <w:rFonts w:hint="eastAsia" w:asciiTheme="majorEastAsia" w:hAnsiTheme="majorEastAsia" w:eastAsiaTheme="majorEastAsia"/>
          <w:sz w:val="32"/>
          <w:szCs w:val="32"/>
        </w:rPr>
        <w:t>根据预算绩效管理要求，武汉市洪山区发展和改革委员会组织对2018年度一般公共预算项目支出全面开展绩效自评,共涉及项目</w:t>
      </w:r>
      <w:r>
        <w:rPr>
          <w:rFonts w:hint="eastAsia" w:asciiTheme="majorEastAsia" w:hAnsiTheme="majorEastAsia" w:eastAsiaTheme="majorEastAsia"/>
          <w:sz w:val="32"/>
          <w:szCs w:val="32"/>
          <w:u w:val="single"/>
        </w:rPr>
        <w:t> 23</w:t>
      </w:r>
      <w:r>
        <w:rPr>
          <w:rFonts w:hint="eastAsia" w:asciiTheme="majorEastAsia" w:hAnsiTheme="majorEastAsia" w:eastAsiaTheme="majorEastAsia"/>
          <w:sz w:val="32"/>
          <w:szCs w:val="32"/>
        </w:rPr>
        <w:t>个，资金</w:t>
      </w:r>
      <w:r>
        <w:rPr>
          <w:rFonts w:hint="eastAsia" w:asciiTheme="majorEastAsia" w:hAnsiTheme="majorEastAsia" w:eastAsiaTheme="majorEastAsia"/>
          <w:sz w:val="32"/>
          <w:szCs w:val="32"/>
          <w:u w:val="single"/>
        </w:rPr>
        <w:t> 1686.99</w:t>
      </w:r>
      <w:r>
        <w:rPr>
          <w:rFonts w:hint="eastAsia" w:asciiTheme="majorEastAsia" w:hAnsiTheme="majorEastAsia" w:eastAsiaTheme="majorEastAsia"/>
          <w:sz w:val="32"/>
          <w:szCs w:val="32"/>
        </w:rPr>
        <w:t>万元。组织对</w:t>
      </w:r>
      <w:r>
        <w:rPr>
          <w:rFonts w:hint="eastAsia" w:asciiTheme="majorEastAsia" w:hAnsiTheme="majorEastAsia" w:eastAsiaTheme="majorEastAsia"/>
          <w:sz w:val="32"/>
          <w:szCs w:val="32"/>
          <w:u w:val="single"/>
        </w:rPr>
        <w:t xml:space="preserve"> 2 </w:t>
      </w:r>
      <w:r>
        <w:rPr>
          <w:rFonts w:hint="eastAsia" w:asciiTheme="majorEastAsia" w:hAnsiTheme="majorEastAsia" w:eastAsiaTheme="majorEastAsia"/>
          <w:sz w:val="32"/>
          <w:szCs w:val="32"/>
        </w:rPr>
        <w:t>个部门开展整体支出绩效自评，资金</w:t>
      </w:r>
      <w:r>
        <w:rPr>
          <w:rFonts w:hint="eastAsia" w:asciiTheme="majorEastAsia" w:hAnsiTheme="majorEastAsia" w:eastAsiaTheme="majorEastAsia"/>
          <w:sz w:val="32"/>
          <w:szCs w:val="32"/>
          <w:u w:val="single"/>
        </w:rPr>
        <w:t xml:space="preserve"> 1612.2 </w:t>
      </w:r>
      <w:r>
        <w:rPr>
          <w:rFonts w:hint="eastAsia" w:asciiTheme="majorEastAsia" w:hAnsiTheme="majorEastAsia" w:eastAsiaTheme="majorEastAsia"/>
          <w:sz w:val="32"/>
          <w:szCs w:val="32"/>
        </w:rPr>
        <w:t>万元。从绩效评价情况来看，发改委涉及项目7个。</w:t>
      </w:r>
      <w:r>
        <w:rPr>
          <w:rFonts w:hint="eastAsia" w:asciiTheme="majorEastAsia" w:hAnsiTheme="majorEastAsia" w:eastAsiaTheme="majorEastAsia"/>
          <w:sz w:val="32"/>
          <w:szCs w:val="32"/>
          <w:u w:val="single"/>
        </w:rPr>
        <w:t>7个</w:t>
      </w:r>
      <w:r>
        <w:rPr>
          <w:rFonts w:hint="eastAsia" w:asciiTheme="majorEastAsia" w:hAnsiTheme="majorEastAsia" w:eastAsiaTheme="majorEastAsia"/>
          <w:sz w:val="32"/>
          <w:szCs w:val="32"/>
        </w:rPr>
        <w:t>项目全年预算数为</w:t>
      </w:r>
      <w:r>
        <w:rPr>
          <w:rFonts w:hint="eastAsia" w:asciiTheme="majorEastAsia" w:hAnsiTheme="majorEastAsia" w:eastAsiaTheme="majorEastAsia"/>
          <w:sz w:val="32"/>
          <w:szCs w:val="32"/>
          <w:u w:val="single"/>
        </w:rPr>
        <w:t xml:space="preserve">1612.2 </w:t>
      </w:r>
      <w:r>
        <w:rPr>
          <w:rFonts w:hint="eastAsia" w:asciiTheme="majorEastAsia" w:hAnsiTheme="majorEastAsia" w:eastAsiaTheme="majorEastAsia"/>
          <w:sz w:val="32"/>
          <w:szCs w:val="32"/>
        </w:rPr>
        <w:t>万元，执行数为</w:t>
      </w:r>
      <w:r>
        <w:rPr>
          <w:rFonts w:hint="eastAsia" w:asciiTheme="majorEastAsia" w:hAnsiTheme="majorEastAsia" w:eastAsiaTheme="majorEastAsia"/>
          <w:sz w:val="32"/>
          <w:szCs w:val="32"/>
          <w:u w:val="single"/>
        </w:rPr>
        <w:t xml:space="preserve"> 1542.2 </w:t>
      </w:r>
      <w:r>
        <w:rPr>
          <w:rFonts w:hint="eastAsia" w:asciiTheme="majorEastAsia" w:hAnsiTheme="majorEastAsia" w:eastAsiaTheme="majorEastAsia"/>
          <w:sz w:val="32"/>
          <w:szCs w:val="32"/>
        </w:rPr>
        <w:t>万元，完成预算的</w:t>
      </w:r>
      <w:r>
        <w:rPr>
          <w:rFonts w:hint="eastAsia" w:asciiTheme="majorEastAsia" w:hAnsiTheme="majorEastAsia" w:eastAsiaTheme="majorEastAsia"/>
          <w:sz w:val="32"/>
          <w:szCs w:val="32"/>
          <w:u w:val="single"/>
        </w:rPr>
        <w:t xml:space="preserve"> 95.66 </w:t>
      </w:r>
      <w:r>
        <w:rPr>
          <w:rFonts w:hint="eastAsia" w:asciiTheme="majorEastAsia" w:hAnsiTheme="majorEastAsia" w:eastAsiaTheme="majorEastAsia"/>
          <w:sz w:val="32"/>
          <w:szCs w:val="32"/>
        </w:rPr>
        <w:t>%。主要成效在于：一是</w:t>
      </w:r>
      <w:r>
        <w:rPr>
          <w:rFonts w:hint="eastAsia" w:cs="Times New Roman" w:asciiTheme="majorEastAsia" w:hAnsiTheme="majorEastAsia" w:eastAsiaTheme="majorEastAsia"/>
          <w:color w:val="000000"/>
          <w:sz w:val="32"/>
          <w:szCs w:val="32"/>
        </w:rPr>
        <w:t>认真贯彻落实中央关于实行精准扶贫工作精神，分别与来</w:t>
      </w:r>
      <w:r>
        <w:rPr>
          <w:rFonts w:hint="eastAsia" w:cs="Times New Roman" w:asciiTheme="majorEastAsia" w:hAnsiTheme="majorEastAsia" w:eastAsiaTheme="majorEastAsia"/>
          <w:sz w:val="32"/>
          <w:szCs w:val="32"/>
        </w:rPr>
        <w:t>凤县绿水镇、神农架林区下谷坪乡、五峰县渔洋关镇、郧西县安家乡定期开展联系，进行工作对接。二是全力做好对口支援新疆工作，帮助博乐市小营盘镇建设了便民项目</w:t>
      </w:r>
      <w:r>
        <w:rPr>
          <w:rFonts w:hint="eastAsia" w:cs="Times New Roman" w:asciiTheme="majorEastAsia" w:hAnsiTheme="majorEastAsia" w:eastAsiaTheme="majorEastAsia"/>
          <w:color w:val="000000"/>
          <w:sz w:val="32"/>
          <w:szCs w:val="32"/>
        </w:rPr>
        <w:t>。</w:t>
      </w:r>
      <w:r>
        <w:rPr>
          <w:rFonts w:hint="eastAsia" w:asciiTheme="majorEastAsia" w:hAnsiTheme="majorEastAsia" w:eastAsiaTheme="majorEastAsia"/>
          <w:sz w:val="32"/>
          <w:szCs w:val="32"/>
        </w:rPr>
        <w:t>三是</w:t>
      </w:r>
      <w:r>
        <w:rPr>
          <w:rFonts w:hint="eastAsia" w:cs="Times New Roman" w:asciiTheme="majorEastAsia" w:hAnsiTheme="majorEastAsia" w:eastAsiaTheme="majorEastAsia"/>
          <w:color w:val="000000"/>
          <w:sz w:val="32"/>
          <w:szCs w:val="32"/>
        </w:rPr>
        <w:t>项目预算资金全部投向</w:t>
      </w:r>
      <w:r>
        <w:rPr>
          <w:rFonts w:cs="Times New Roman" w:asciiTheme="majorEastAsia" w:hAnsiTheme="majorEastAsia" w:eastAsiaTheme="majorEastAsia"/>
          <w:color w:val="000000"/>
          <w:sz w:val="32"/>
          <w:szCs w:val="32"/>
        </w:rPr>
        <w:t>2017年度新增46家服务业“小进规”企业，符合市人民政府关于支持服务业小微企业进入规模企业的政策要求，对于支持洪山区服务业中小企业的发展质量，提高企业的生产积极性发挥了明显的作用，财政经济效益突出，2018年全区的服务业增加值达到10.2%，增幅在全市中心城区排名第一。</w:t>
      </w:r>
      <w:r>
        <w:rPr>
          <w:rFonts w:hint="eastAsia" w:cs="Times New Roman" w:asciiTheme="majorEastAsia" w:hAnsiTheme="majorEastAsia" w:eastAsiaTheme="majorEastAsia"/>
          <w:color w:val="000000"/>
          <w:sz w:val="32"/>
          <w:szCs w:val="32"/>
        </w:rPr>
        <w:t>2018年预算执行情况总体是好的，全年执行率达到90%。其中帮扶资金70万元没有执行，由于五峰县渔洋关镇当年申报的帮扶项目资料手续不全，已致扶贫资金未能下拨。下一步改进措施是全力搞好协调工作，力争把扶贫政策用好用全。</w:t>
      </w:r>
    </w:p>
    <w:p>
      <w:pPr>
        <w:ind w:firstLine="600"/>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今后在规范会计核算的基础上，充分考虑预算年度变化的因素，结合本单位工作安排合理编制预算项目，严格按照预算执行。</w:t>
      </w:r>
    </w:p>
    <w:p>
      <w:pPr>
        <w:spacing w:line="560" w:lineRule="exact"/>
        <w:ind w:firstLine="640" w:firstLineChars="200"/>
        <w:jc w:val="both"/>
        <w:rPr>
          <w:rFonts w:cs="Times New Roman" w:asciiTheme="majorEastAsia" w:hAnsiTheme="majorEastAsia" w:eastAsiaTheme="majorEastAsia"/>
          <w:color w:val="000000"/>
          <w:sz w:val="32"/>
          <w:szCs w:val="32"/>
        </w:rPr>
      </w:pPr>
    </w:p>
    <w:p>
      <w:pPr>
        <w:pStyle w:val="5"/>
        <w:snapToGrid w:val="0"/>
      </w:pPr>
    </w:p>
    <w:sectPr>
      <w:pgSz w:w="11907"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sinmsun">
    <w:altName w:val="汉仪仿宋S"/>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A4564"/>
    <w:multiLevelType w:val="multilevel"/>
    <w:tmpl w:val="3B4A4564"/>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75107C"/>
    <w:multiLevelType w:val="multilevel"/>
    <w:tmpl w:val="5A75107C"/>
    <w:lvl w:ilvl="0" w:tentative="0">
      <w:start w:val="1"/>
      <w:numFmt w:val="decimal"/>
      <w:lvlText w:val="%1、"/>
      <w:lvlJc w:val="left"/>
      <w:pPr>
        <w:ind w:left="992" w:hanging="360"/>
      </w:pPr>
      <w:rPr>
        <w:rFonts w:ascii="仿宋" w:hAnsi="仿宋" w:eastAsia="仿宋"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54A8"/>
    <w:rsid w:val="000229E4"/>
    <w:rsid w:val="00036985"/>
    <w:rsid w:val="0006246B"/>
    <w:rsid w:val="00087AC7"/>
    <w:rsid w:val="000A2B67"/>
    <w:rsid w:val="000A6AB4"/>
    <w:rsid w:val="000C12B6"/>
    <w:rsid w:val="00193497"/>
    <w:rsid w:val="001D4C3B"/>
    <w:rsid w:val="001F19DC"/>
    <w:rsid w:val="001F2646"/>
    <w:rsid w:val="001F36E2"/>
    <w:rsid w:val="00212BF4"/>
    <w:rsid w:val="00240341"/>
    <w:rsid w:val="0025108F"/>
    <w:rsid w:val="00270856"/>
    <w:rsid w:val="00287013"/>
    <w:rsid w:val="002C63A4"/>
    <w:rsid w:val="002D5987"/>
    <w:rsid w:val="003078D8"/>
    <w:rsid w:val="00330427"/>
    <w:rsid w:val="00345545"/>
    <w:rsid w:val="0034590D"/>
    <w:rsid w:val="00366EEC"/>
    <w:rsid w:val="003739AE"/>
    <w:rsid w:val="003A2C42"/>
    <w:rsid w:val="003A2D99"/>
    <w:rsid w:val="003B0BA5"/>
    <w:rsid w:val="003E4361"/>
    <w:rsid w:val="003F6566"/>
    <w:rsid w:val="0040053C"/>
    <w:rsid w:val="00447434"/>
    <w:rsid w:val="004615A4"/>
    <w:rsid w:val="00463D45"/>
    <w:rsid w:val="004773AC"/>
    <w:rsid w:val="0048661D"/>
    <w:rsid w:val="004A084B"/>
    <w:rsid w:val="004E0811"/>
    <w:rsid w:val="005033AE"/>
    <w:rsid w:val="005049E8"/>
    <w:rsid w:val="005530A0"/>
    <w:rsid w:val="005723FF"/>
    <w:rsid w:val="005754A8"/>
    <w:rsid w:val="005B0B6B"/>
    <w:rsid w:val="005C04FF"/>
    <w:rsid w:val="005C7CCD"/>
    <w:rsid w:val="005E505A"/>
    <w:rsid w:val="005F4DAE"/>
    <w:rsid w:val="00611E3F"/>
    <w:rsid w:val="00645151"/>
    <w:rsid w:val="00666ADF"/>
    <w:rsid w:val="00672BC0"/>
    <w:rsid w:val="0067726C"/>
    <w:rsid w:val="00682FAE"/>
    <w:rsid w:val="0068551C"/>
    <w:rsid w:val="006B1F19"/>
    <w:rsid w:val="006C18E0"/>
    <w:rsid w:val="006C6A6B"/>
    <w:rsid w:val="006D1BDD"/>
    <w:rsid w:val="006D2AF8"/>
    <w:rsid w:val="006F53E2"/>
    <w:rsid w:val="006F57EB"/>
    <w:rsid w:val="007114E7"/>
    <w:rsid w:val="007155AA"/>
    <w:rsid w:val="00727974"/>
    <w:rsid w:val="00735C83"/>
    <w:rsid w:val="007529A6"/>
    <w:rsid w:val="007812E8"/>
    <w:rsid w:val="007A20AA"/>
    <w:rsid w:val="007C2C22"/>
    <w:rsid w:val="007F2282"/>
    <w:rsid w:val="008017A0"/>
    <w:rsid w:val="00804B8A"/>
    <w:rsid w:val="008270E0"/>
    <w:rsid w:val="00832D97"/>
    <w:rsid w:val="00862731"/>
    <w:rsid w:val="0086424D"/>
    <w:rsid w:val="00864B4C"/>
    <w:rsid w:val="008717EC"/>
    <w:rsid w:val="008741EA"/>
    <w:rsid w:val="008B2DF9"/>
    <w:rsid w:val="008B57C1"/>
    <w:rsid w:val="008C7AB4"/>
    <w:rsid w:val="008D450C"/>
    <w:rsid w:val="008E5EFA"/>
    <w:rsid w:val="008E717A"/>
    <w:rsid w:val="009457DD"/>
    <w:rsid w:val="0094761A"/>
    <w:rsid w:val="009641A1"/>
    <w:rsid w:val="0098099B"/>
    <w:rsid w:val="00994935"/>
    <w:rsid w:val="009B508E"/>
    <w:rsid w:val="009F6C53"/>
    <w:rsid w:val="00A14642"/>
    <w:rsid w:val="00A359EE"/>
    <w:rsid w:val="00A35B34"/>
    <w:rsid w:val="00A61335"/>
    <w:rsid w:val="00A67F69"/>
    <w:rsid w:val="00A76A07"/>
    <w:rsid w:val="00AD2F34"/>
    <w:rsid w:val="00AF3E55"/>
    <w:rsid w:val="00B05E6C"/>
    <w:rsid w:val="00B13EC1"/>
    <w:rsid w:val="00B86A11"/>
    <w:rsid w:val="00BB25B3"/>
    <w:rsid w:val="00BC3332"/>
    <w:rsid w:val="00BC3492"/>
    <w:rsid w:val="00BD557F"/>
    <w:rsid w:val="00C15886"/>
    <w:rsid w:val="00C24E71"/>
    <w:rsid w:val="00C46DF8"/>
    <w:rsid w:val="00C51C21"/>
    <w:rsid w:val="00C70106"/>
    <w:rsid w:val="00CC0508"/>
    <w:rsid w:val="00CD7571"/>
    <w:rsid w:val="00CF566B"/>
    <w:rsid w:val="00D406A7"/>
    <w:rsid w:val="00D77B27"/>
    <w:rsid w:val="00D851E4"/>
    <w:rsid w:val="00D95576"/>
    <w:rsid w:val="00DD357E"/>
    <w:rsid w:val="00DD6888"/>
    <w:rsid w:val="00DE5356"/>
    <w:rsid w:val="00DF7328"/>
    <w:rsid w:val="00DF7BC7"/>
    <w:rsid w:val="00E30B31"/>
    <w:rsid w:val="00E815E4"/>
    <w:rsid w:val="00E87225"/>
    <w:rsid w:val="00E934A8"/>
    <w:rsid w:val="00EC2C3D"/>
    <w:rsid w:val="00EF068E"/>
    <w:rsid w:val="00F03BAE"/>
    <w:rsid w:val="00F0548E"/>
    <w:rsid w:val="00F409CD"/>
    <w:rsid w:val="00F548CC"/>
    <w:rsid w:val="00F60E2C"/>
    <w:rsid w:val="00F772FB"/>
    <w:rsid w:val="00F83730"/>
    <w:rsid w:val="00F94F81"/>
    <w:rsid w:val="00F96633"/>
    <w:rsid w:val="00FC64A7"/>
    <w:rsid w:val="00FE160C"/>
    <w:rsid w:val="00FE5700"/>
    <w:rsid w:val="00FF474E"/>
    <w:rsid w:val="3FBB79D2"/>
    <w:rsid w:val="5FCFAD45"/>
    <w:rsid w:val="72E3327A"/>
    <w:rsid w:val="C9F6994E"/>
    <w:rsid w:val="DCFF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styleId="9">
    <w:name w:val="Emphasis"/>
    <w:basedOn w:val="7"/>
    <w:qFormat/>
    <w:uiPriority w:val="20"/>
  </w:style>
  <w:style w:type="character" w:customStyle="1" w:styleId="10">
    <w:name w:val="页眉 Char"/>
    <w:basedOn w:val="7"/>
    <w:link w:val="4"/>
    <w:qFormat/>
    <w:uiPriority w:val="99"/>
    <w:rPr>
      <w:rFonts w:ascii="宋体" w:hAnsi="宋体" w:eastAsia="宋体" w:cs="宋体"/>
      <w:kern w:val="0"/>
      <w:sz w:val="18"/>
      <w:szCs w:val="18"/>
    </w:rPr>
  </w:style>
  <w:style w:type="character" w:customStyle="1" w:styleId="11">
    <w:name w:val="页脚 Char"/>
    <w:basedOn w:val="7"/>
    <w:link w:val="3"/>
    <w:qFormat/>
    <w:uiPriority w:val="99"/>
    <w:rPr>
      <w:rFonts w:ascii="宋体" w:hAnsi="宋体" w:eastAsia="宋体" w:cs="宋体"/>
      <w:kern w:val="0"/>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宋体" w:hAnsi="宋体" w:eastAsia="宋体" w:cs="宋体"/>
      <w:kern w:val="0"/>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2614</Words>
  <Characters>14905</Characters>
  <Lines>124</Lines>
  <Paragraphs>34</Paragraphs>
  <TotalTime>1325</TotalTime>
  <ScaleCrop>false</ScaleCrop>
  <LinksUpToDate>false</LinksUpToDate>
  <CharactersWithSpaces>17485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2019-05-15T16:23:00Z</dcterms:created>
  <dc:creator>gke</dc:creator>
  <cp:lastModifiedBy>ht706</cp:lastModifiedBy>
  <dcterms:modified xsi:type="dcterms:W3CDTF">2025-07-15T17:39:25Z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