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6D2AA">
      <w:pPr>
        <w:pStyle w:val="10"/>
        <w:widowControl/>
        <w:shd w:val="clear" w:color="auto" w:fill="FFFFFF"/>
        <w:spacing w:before="0" w:beforeAutospacing="0" w:after="0" w:afterAutospacing="0"/>
        <w:ind w:firstLine="0" w:firstLineChars="0"/>
        <w:jc w:val="center"/>
        <w:rPr>
          <w:rFonts w:ascii="黑体" w:hAnsi="黑体" w:eastAsia="黑体" w:cs="黑体"/>
          <w:b/>
          <w:color w:val="333333"/>
          <w:sz w:val="36"/>
          <w:szCs w:val="36"/>
          <w:shd w:val="clear" w:color="auto" w:fill="FFFFFF"/>
        </w:rPr>
      </w:pPr>
      <w:bookmarkStart w:id="0" w:name="_GoBack"/>
      <w:bookmarkEnd w:id="0"/>
      <w:r>
        <w:rPr>
          <w:rFonts w:hint="eastAsia" w:ascii="黑体" w:hAnsi="黑体" w:eastAsia="黑体" w:cs="黑体"/>
          <w:b/>
          <w:color w:val="333333"/>
          <w:sz w:val="36"/>
          <w:szCs w:val="36"/>
          <w:shd w:val="clear" w:color="auto" w:fill="FFFFFF"/>
        </w:rPr>
        <w:t>洪山区市场监督管理局政府信息公开工作</w:t>
      </w:r>
    </w:p>
    <w:p w14:paraId="190DC971">
      <w:pPr>
        <w:pStyle w:val="10"/>
        <w:widowControl/>
        <w:shd w:val="clear" w:color="auto" w:fill="FFFFFF"/>
        <w:spacing w:before="0" w:beforeAutospacing="0" w:after="0" w:afterAutospacing="0"/>
        <w:ind w:firstLine="0" w:firstLineChars="0"/>
        <w:jc w:val="center"/>
        <w:rPr>
          <w:rFonts w:ascii="黑体" w:hAnsi="黑体" w:eastAsia="黑体" w:cs="黑体"/>
          <w:b/>
          <w:color w:val="333333"/>
          <w:sz w:val="32"/>
          <w:szCs w:val="32"/>
          <w:shd w:val="clear" w:color="auto" w:fill="FFFFFF"/>
        </w:rPr>
      </w:pPr>
      <w:r>
        <w:rPr>
          <w:rFonts w:hint="eastAsia" w:ascii="黑体" w:hAnsi="黑体" w:eastAsia="黑体" w:cs="黑体"/>
          <w:b/>
          <w:color w:val="333333"/>
          <w:sz w:val="36"/>
          <w:szCs w:val="36"/>
          <w:shd w:val="clear" w:color="auto" w:fill="FFFFFF"/>
        </w:rPr>
        <w:t>年度报告（</w:t>
      </w:r>
      <w:r>
        <w:rPr>
          <w:rFonts w:ascii="黑体" w:hAnsi="黑体" w:eastAsia="黑体" w:cs="黑体"/>
          <w:b/>
          <w:color w:val="333333"/>
          <w:sz w:val="36"/>
          <w:szCs w:val="36"/>
          <w:shd w:val="clear" w:color="auto" w:fill="FFFFFF"/>
        </w:rPr>
        <w:t>2023</w:t>
      </w:r>
      <w:r>
        <w:rPr>
          <w:rFonts w:hint="eastAsia" w:ascii="黑体" w:hAnsi="黑体" w:eastAsia="黑体" w:cs="黑体"/>
          <w:b/>
          <w:color w:val="333333"/>
          <w:sz w:val="36"/>
          <w:szCs w:val="36"/>
          <w:shd w:val="clear" w:color="auto" w:fill="FFFFFF"/>
        </w:rPr>
        <w:t>年度）</w:t>
      </w:r>
    </w:p>
    <w:p w14:paraId="6EEEB7FB">
      <w:pPr>
        <w:pStyle w:val="10"/>
        <w:widowControl/>
        <w:shd w:val="clear" w:color="auto" w:fill="FFFFFF"/>
        <w:spacing w:before="0" w:beforeAutospacing="0" w:after="0" w:afterAutospacing="0"/>
        <w:ind w:firstLine="0" w:firstLineChars="0"/>
        <w:jc w:val="center"/>
        <w:rPr>
          <w:rFonts w:ascii="宋体" w:hAnsi="宋体" w:eastAsia="宋体" w:cs="宋体"/>
          <w:b/>
          <w:color w:val="333333"/>
          <w:sz w:val="36"/>
          <w:szCs w:val="36"/>
          <w:shd w:val="clear" w:color="auto" w:fill="FFFFFF"/>
        </w:rPr>
      </w:pPr>
    </w:p>
    <w:p w14:paraId="735F7B02">
      <w:pPr>
        <w:widowControl/>
        <w:ind w:firstLine="640"/>
        <w:rPr>
          <w:rFonts w:ascii="仿宋" w:hAnsi="仿宋" w:eastAsia="仿宋" w:cs="宋体"/>
          <w:color w:val="000000"/>
          <w:kern w:val="0"/>
          <w:szCs w:val="32"/>
        </w:rPr>
      </w:pPr>
      <w:r>
        <w:rPr>
          <w:rFonts w:hint="eastAsia" w:ascii="仿宋" w:hAnsi="仿宋" w:eastAsia="仿宋" w:cs="宋体"/>
          <w:color w:val="000000"/>
          <w:kern w:val="0"/>
          <w:szCs w:val="32"/>
        </w:rPr>
        <w:t>根据《中华人民共和国政府信息公开条例》的有关要求，特向社会公布我局</w:t>
      </w:r>
      <w:r>
        <w:rPr>
          <w:rFonts w:ascii="仿宋" w:hAnsi="仿宋" w:eastAsia="仿宋" w:cs="宋体"/>
          <w:color w:val="000000"/>
          <w:kern w:val="0"/>
          <w:szCs w:val="32"/>
        </w:rPr>
        <w:t>2023</w:t>
      </w:r>
      <w:r>
        <w:rPr>
          <w:rFonts w:hint="eastAsia" w:ascii="仿宋" w:hAnsi="仿宋" w:eastAsia="仿宋" w:cs="宋体"/>
          <w:color w:val="000000"/>
          <w:kern w:val="0"/>
          <w:szCs w:val="32"/>
        </w:rPr>
        <w:t>年度政务信息公开工作情况，本报告所列数据的统计期限自</w:t>
      </w:r>
      <w:r>
        <w:rPr>
          <w:rFonts w:ascii="仿宋" w:hAnsi="仿宋" w:eastAsia="仿宋" w:cs="宋体"/>
          <w:color w:val="000000"/>
          <w:kern w:val="0"/>
          <w:szCs w:val="32"/>
        </w:rPr>
        <w:t>2023</w:t>
      </w:r>
      <w:r>
        <w:rPr>
          <w:rFonts w:hint="eastAsia" w:ascii="仿宋" w:hAnsi="仿宋" w:eastAsia="仿宋" w:cs="宋体"/>
          <w:color w:val="000000"/>
          <w:kern w:val="0"/>
          <w:szCs w:val="32"/>
        </w:rPr>
        <w:t>年</w:t>
      </w:r>
      <w:r>
        <w:rPr>
          <w:rFonts w:ascii="仿宋" w:hAnsi="仿宋" w:eastAsia="仿宋" w:cs="宋体"/>
          <w:color w:val="000000"/>
          <w:kern w:val="0"/>
          <w:szCs w:val="32"/>
        </w:rPr>
        <w:t>1</w:t>
      </w:r>
      <w:r>
        <w:rPr>
          <w:rFonts w:hint="eastAsia" w:ascii="仿宋" w:hAnsi="仿宋" w:eastAsia="仿宋" w:cs="宋体"/>
          <w:color w:val="000000"/>
          <w:kern w:val="0"/>
          <w:szCs w:val="32"/>
        </w:rPr>
        <w:t>月</w:t>
      </w:r>
      <w:r>
        <w:rPr>
          <w:rFonts w:ascii="仿宋" w:hAnsi="仿宋" w:eastAsia="仿宋" w:cs="宋体"/>
          <w:color w:val="000000"/>
          <w:kern w:val="0"/>
          <w:szCs w:val="32"/>
        </w:rPr>
        <w:t>1</w:t>
      </w:r>
      <w:r>
        <w:rPr>
          <w:rFonts w:hint="eastAsia" w:ascii="仿宋" w:hAnsi="仿宋" w:eastAsia="仿宋" w:cs="宋体"/>
          <w:color w:val="000000"/>
          <w:kern w:val="0"/>
          <w:szCs w:val="32"/>
        </w:rPr>
        <w:t>日起至</w:t>
      </w:r>
      <w:r>
        <w:rPr>
          <w:rFonts w:ascii="仿宋" w:hAnsi="仿宋" w:eastAsia="仿宋" w:cs="宋体"/>
          <w:color w:val="000000"/>
          <w:kern w:val="0"/>
          <w:szCs w:val="32"/>
        </w:rPr>
        <w:t>2023</w:t>
      </w:r>
      <w:r>
        <w:rPr>
          <w:rFonts w:hint="eastAsia" w:ascii="仿宋" w:hAnsi="仿宋" w:eastAsia="仿宋" w:cs="宋体"/>
          <w:color w:val="000000"/>
          <w:kern w:val="0"/>
          <w:szCs w:val="32"/>
        </w:rPr>
        <w:t>年</w:t>
      </w:r>
      <w:r>
        <w:rPr>
          <w:rFonts w:ascii="仿宋" w:hAnsi="仿宋" w:eastAsia="仿宋" w:cs="宋体"/>
          <w:color w:val="000000"/>
          <w:kern w:val="0"/>
          <w:szCs w:val="32"/>
        </w:rPr>
        <w:t>12</w:t>
      </w:r>
      <w:r>
        <w:rPr>
          <w:rFonts w:hint="eastAsia" w:ascii="仿宋" w:hAnsi="仿宋" w:eastAsia="仿宋" w:cs="宋体"/>
          <w:color w:val="000000"/>
          <w:kern w:val="0"/>
          <w:szCs w:val="32"/>
        </w:rPr>
        <w:t>月</w:t>
      </w:r>
      <w:r>
        <w:rPr>
          <w:rFonts w:ascii="仿宋" w:hAnsi="仿宋" w:eastAsia="仿宋" w:cs="宋体"/>
          <w:color w:val="000000"/>
          <w:kern w:val="0"/>
          <w:szCs w:val="32"/>
        </w:rPr>
        <w:t>31</w:t>
      </w:r>
      <w:r>
        <w:rPr>
          <w:rFonts w:hint="eastAsia" w:ascii="仿宋" w:hAnsi="仿宋" w:eastAsia="仿宋" w:cs="宋体"/>
          <w:color w:val="000000"/>
          <w:kern w:val="0"/>
          <w:szCs w:val="32"/>
        </w:rPr>
        <w:t>日止。</w:t>
      </w:r>
    </w:p>
    <w:p w14:paraId="73A9B99C">
      <w:pPr>
        <w:widowControl/>
        <w:numPr>
          <w:ilvl w:val="0"/>
          <w:numId w:val="1"/>
        </w:numPr>
        <w:ind w:firstLine="640"/>
        <w:rPr>
          <w:rFonts w:ascii="黑体" w:hAnsi="黑体" w:eastAsia="黑体" w:cs="黑体"/>
          <w:color w:val="333333"/>
          <w:kern w:val="0"/>
          <w:szCs w:val="32"/>
        </w:rPr>
      </w:pPr>
      <w:r>
        <w:rPr>
          <w:rFonts w:hint="eastAsia" w:ascii="黑体" w:hAnsi="黑体" w:eastAsia="黑体" w:cs="黑体"/>
          <w:color w:val="333333"/>
          <w:kern w:val="0"/>
          <w:szCs w:val="32"/>
        </w:rPr>
        <w:t>总体情况</w:t>
      </w:r>
    </w:p>
    <w:p w14:paraId="297DC9F6">
      <w:pPr>
        <w:widowControl/>
        <w:ind w:firstLine="640"/>
        <w:rPr>
          <w:rFonts w:ascii="仿宋" w:hAnsi="仿宋" w:eastAsia="仿宋" w:cs="宋体"/>
          <w:color w:val="000000"/>
          <w:kern w:val="0"/>
          <w:szCs w:val="32"/>
        </w:rPr>
      </w:pPr>
      <w:r>
        <w:rPr>
          <w:rFonts w:ascii="仿宋" w:hAnsi="仿宋" w:eastAsia="仿宋" w:cs="宋体"/>
          <w:color w:val="000000"/>
          <w:kern w:val="0"/>
          <w:szCs w:val="32"/>
        </w:rPr>
        <w:t>2023</w:t>
      </w:r>
      <w:r>
        <w:rPr>
          <w:rFonts w:hint="eastAsia" w:ascii="仿宋" w:hAnsi="仿宋" w:eastAsia="仿宋" w:cs="宋体"/>
          <w:color w:val="000000"/>
          <w:kern w:val="0"/>
          <w:szCs w:val="32"/>
        </w:rPr>
        <w:t>年，洪山区市场监督管理局坚持以习近平新时代中国特色社会主义思想为指导，落实《中华人民共和国政府信息公开条例》，按照上级政务公开工作的部署要求，积极推动政府信息公开工作有序、高效开展。</w:t>
      </w:r>
    </w:p>
    <w:p w14:paraId="6E9D6645">
      <w:pPr>
        <w:widowControl/>
        <w:numPr>
          <w:ilvl w:val="0"/>
          <w:numId w:val="2"/>
        </w:numPr>
        <w:ind w:firstLine="643"/>
        <w:rPr>
          <w:rFonts w:ascii="黑体" w:hAnsi="黑体" w:eastAsia="黑体" w:cs="黑体"/>
          <w:color w:val="333333"/>
          <w:kern w:val="0"/>
          <w:szCs w:val="32"/>
        </w:rPr>
      </w:pPr>
      <w:r>
        <w:rPr>
          <w:rFonts w:hint="eastAsia" w:ascii="楷体" w:hAnsi="楷体" w:eastAsia="楷体" w:cs="楷体"/>
          <w:b/>
          <w:bCs/>
          <w:color w:val="333333"/>
          <w:kern w:val="0"/>
          <w:szCs w:val="32"/>
        </w:rPr>
        <w:t>政府信息主动公开情况</w:t>
      </w:r>
    </w:p>
    <w:p w14:paraId="2D181F7D">
      <w:pPr>
        <w:widowControl/>
        <w:ind w:firstLine="640"/>
        <w:rPr>
          <w:rFonts w:ascii="黑体" w:hAnsi="黑体" w:eastAsia="黑体" w:cs="黑体"/>
          <w:color w:val="333333"/>
          <w:kern w:val="0"/>
          <w:szCs w:val="32"/>
        </w:rPr>
      </w:pPr>
      <w:r>
        <w:rPr>
          <w:rFonts w:hint="eastAsia" w:ascii="仿宋" w:hAnsi="仿宋" w:eastAsia="仿宋" w:cs="宋体"/>
          <w:color w:val="000000"/>
          <w:kern w:val="0"/>
          <w:szCs w:val="32"/>
        </w:rPr>
        <w:t>我局在区人民政府门户网上主动公开政府信息。全年累计公开信息</w:t>
      </w:r>
      <w:r>
        <w:rPr>
          <w:rFonts w:ascii="仿宋" w:hAnsi="仿宋" w:eastAsia="仿宋" w:cs="宋体"/>
          <w:color w:val="000000"/>
          <w:kern w:val="0"/>
          <w:szCs w:val="32"/>
        </w:rPr>
        <w:t>145</w:t>
      </w:r>
      <w:r>
        <w:rPr>
          <w:rFonts w:hint="eastAsia" w:ascii="仿宋" w:hAnsi="仿宋" w:eastAsia="仿宋" w:cs="宋体"/>
          <w:color w:val="000000"/>
          <w:kern w:val="0"/>
          <w:szCs w:val="32"/>
        </w:rPr>
        <w:t>条。重点对机构信息、法规公文、工作信息、承诺事项、社会监督、办事指南等信息内容进行了公开。</w:t>
      </w:r>
    </w:p>
    <w:p w14:paraId="2A879402">
      <w:pPr>
        <w:widowControl/>
        <w:numPr>
          <w:ilvl w:val="0"/>
          <w:numId w:val="2"/>
        </w:numPr>
        <w:ind w:firstLine="643"/>
        <w:rPr>
          <w:rFonts w:ascii="楷体" w:hAnsi="楷体" w:eastAsia="楷体" w:cs="楷体"/>
          <w:b/>
          <w:bCs/>
          <w:color w:val="333333"/>
          <w:kern w:val="0"/>
          <w:szCs w:val="32"/>
        </w:rPr>
      </w:pPr>
      <w:r>
        <w:rPr>
          <w:rFonts w:hint="eastAsia" w:ascii="楷体" w:hAnsi="楷体" w:eastAsia="楷体" w:cs="楷体"/>
          <w:b/>
          <w:bCs/>
          <w:color w:val="333333"/>
          <w:kern w:val="0"/>
          <w:szCs w:val="32"/>
        </w:rPr>
        <w:t>政府信息依申请公开情况</w:t>
      </w:r>
    </w:p>
    <w:p w14:paraId="4DD96EEB">
      <w:pPr>
        <w:widowControl/>
        <w:ind w:firstLine="640"/>
        <w:rPr>
          <w:rFonts w:ascii="仿宋" w:hAnsi="仿宋" w:eastAsia="仿宋" w:cs="宋体"/>
          <w:color w:val="000000"/>
          <w:kern w:val="0"/>
          <w:szCs w:val="32"/>
        </w:rPr>
      </w:pPr>
      <w:r>
        <w:rPr>
          <w:rFonts w:hint="eastAsia" w:ascii="仿宋" w:hAnsi="仿宋" w:eastAsia="仿宋" w:cs="宋体"/>
          <w:color w:val="000000"/>
          <w:kern w:val="0"/>
          <w:szCs w:val="32"/>
        </w:rPr>
        <w:t>我局受理政府信息公开申请</w:t>
      </w:r>
      <w:r>
        <w:rPr>
          <w:rFonts w:ascii="仿宋" w:hAnsi="仿宋" w:eastAsia="仿宋" w:cs="宋体"/>
          <w:color w:val="000000"/>
          <w:kern w:val="0"/>
          <w:szCs w:val="32"/>
        </w:rPr>
        <w:t>53</w:t>
      </w:r>
      <w:r>
        <w:rPr>
          <w:rFonts w:hint="eastAsia" w:ascii="仿宋" w:hAnsi="仿宋" w:eastAsia="仿宋" w:cs="宋体"/>
          <w:color w:val="000000"/>
          <w:kern w:val="0"/>
          <w:szCs w:val="32"/>
        </w:rPr>
        <w:t>件，截止2023年12月31日已办结</w:t>
      </w:r>
      <w:r>
        <w:rPr>
          <w:rFonts w:hint="eastAsia" w:ascii="仿宋" w:hAnsi="仿宋" w:eastAsia="仿宋" w:cs="宋体"/>
          <w:color w:val="000000"/>
          <w:kern w:val="0"/>
          <w:szCs w:val="32"/>
          <w:lang w:val="en-US" w:eastAsia="zh-CN"/>
        </w:rPr>
        <w:t>46</w:t>
      </w:r>
      <w:r>
        <w:rPr>
          <w:rFonts w:hint="eastAsia" w:ascii="仿宋" w:hAnsi="仿宋" w:eastAsia="仿宋" w:cs="宋体"/>
          <w:color w:val="000000"/>
          <w:kern w:val="0"/>
          <w:szCs w:val="32"/>
        </w:rPr>
        <w:t>件</w:t>
      </w:r>
      <w:r>
        <w:rPr>
          <w:rFonts w:hint="eastAsia" w:ascii="仿宋" w:hAnsi="仿宋" w:eastAsia="仿宋" w:cs="宋体"/>
          <w:color w:val="000000"/>
          <w:kern w:val="0"/>
          <w:szCs w:val="32"/>
          <w:lang w:eastAsia="zh-CN"/>
        </w:rPr>
        <w:t>（</w:t>
      </w:r>
      <w:r>
        <w:rPr>
          <w:rFonts w:hint="eastAsia" w:ascii="仿宋" w:hAnsi="仿宋" w:eastAsia="仿宋" w:cs="宋体"/>
          <w:color w:val="000000"/>
          <w:kern w:val="0"/>
          <w:szCs w:val="32"/>
          <w:lang w:val="en-US" w:eastAsia="zh-CN"/>
        </w:rPr>
        <w:t>另有7件</w:t>
      </w:r>
      <w:r>
        <w:rPr>
          <w:rFonts w:hint="eastAsia" w:ascii="仿宋" w:hAnsi="仿宋" w:eastAsia="仿宋" w:cs="宋体"/>
          <w:color w:val="000000"/>
          <w:kern w:val="0"/>
          <w:szCs w:val="32"/>
          <w:lang w:eastAsia="zh-CN"/>
        </w:rPr>
        <w:t>结转下年度继续办理）</w:t>
      </w:r>
      <w:r>
        <w:rPr>
          <w:rFonts w:hint="eastAsia" w:ascii="仿宋" w:hAnsi="仿宋" w:eastAsia="仿宋" w:cs="宋体"/>
          <w:color w:val="000000"/>
          <w:kern w:val="0"/>
          <w:szCs w:val="32"/>
        </w:rPr>
        <w:t>，充分保障了公众知情权、参与权、监督权。</w:t>
      </w:r>
    </w:p>
    <w:p w14:paraId="45A65574">
      <w:pPr>
        <w:widowControl/>
        <w:ind w:firstLine="643"/>
        <w:rPr>
          <w:rFonts w:ascii="楷体" w:hAnsi="楷体" w:eastAsia="楷体" w:cs="楷体"/>
          <w:b/>
          <w:bCs/>
          <w:color w:val="333333"/>
          <w:kern w:val="0"/>
          <w:szCs w:val="32"/>
        </w:rPr>
      </w:pPr>
      <w:r>
        <w:rPr>
          <w:rFonts w:hint="eastAsia" w:ascii="楷体" w:hAnsi="楷体" w:eastAsia="楷体" w:cs="楷体"/>
          <w:b/>
          <w:bCs/>
          <w:color w:val="333333"/>
          <w:kern w:val="0"/>
          <w:szCs w:val="32"/>
        </w:rPr>
        <w:t>（三）政府信息管理</w:t>
      </w:r>
    </w:p>
    <w:p w14:paraId="43641C7E">
      <w:pPr>
        <w:widowControl/>
        <w:ind w:firstLine="600"/>
        <w:rPr>
          <w:rFonts w:ascii="仿宋" w:hAnsi="仿宋" w:eastAsia="仿宋" w:cs="宋体"/>
          <w:color w:val="000000"/>
          <w:kern w:val="0"/>
          <w:szCs w:val="32"/>
        </w:rPr>
      </w:pPr>
      <w:r>
        <w:rPr>
          <w:rFonts w:hint="eastAsia"/>
          <w:color w:val="333333"/>
          <w:sz w:val="30"/>
          <w:szCs w:val="30"/>
          <w:shd w:val="clear" w:color="auto" w:fill="FFFFFF"/>
        </w:rPr>
        <w:t>强化信息发布管理，健全全局参与、上下联动的保障机制。</w:t>
      </w:r>
      <w:r>
        <w:rPr>
          <w:rFonts w:hint="eastAsia" w:ascii="仿宋" w:hAnsi="仿宋" w:eastAsia="仿宋" w:cs="宋体"/>
          <w:color w:val="000000"/>
          <w:kern w:val="0"/>
          <w:szCs w:val="32"/>
        </w:rPr>
        <w:t>加强信息发布审查和政府信息管理，</w:t>
      </w:r>
      <w:r>
        <w:rPr>
          <w:rFonts w:hint="eastAsia"/>
          <w:color w:val="333333"/>
          <w:sz w:val="30"/>
          <w:szCs w:val="30"/>
          <w:shd w:val="clear" w:color="auto" w:fill="FFFFFF"/>
        </w:rPr>
        <w:t>严格落实信息发布审批手续，进一步完善信息公开工作流程。规范政府信息依申请公开办理及答复流程，推动依申请公开工作标准化、规范化。</w:t>
      </w:r>
    </w:p>
    <w:p w14:paraId="76D72DB2">
      <w:pPr>
        <w:widowControl/>
        <w:numPr>
          <w:ilvl w:val="0"/>
          <w:numId w:val="3"/>
        </w:numPr>
        <w:ind w:firstLine="643"/>
        <w:rPr>
          <w:rFonts w:ascii="楷体" w:hAnsi="楷体" w:eastAsia="楷体" w:cs="楷体"/>
          <w:b/>
          <w:bCs/>
          <w:color w:val="333333"/>
          <w:kern w:val="0"/>
          <w:szCs w:val="32"/>
        </w:rPr>
      </w:pPr>
      <w:r>
        <w:rPr>
          <w:rFonts w:hint="eastAsia" w:ascii="楷体" w:hAnsi="楷体" w:eastAsia="楷体" w:cs="楷体"/>
          <w:b/>
          <w:bCs/>
          <w:color w:val="333333"/>
          <w:kern w:val="0"/>
          <w:szCs w:val="32"/>
        </w:rPr>
        <w:t>政府信息公开平台建设情况</w:t>
      </w:r>
    </w:p>
    <w:p w14:paraId="1FA38803">
      <w:pPr>
        <w:widowControl/>
        <w:ind w:firstLine="640"/>
        <w:rPr>
          <w:rFonts w:ascii="仿宋" w:hAnsi="仿宋" w:eastAsia="仿宋" w:cs="宋体"/>
          <w:color w:val="000000"/>
          <w:kern w:val="0"/>
          <w:szCs w:val="32"/>
        </w:rPr>
      </w:pPr>
      <w:r>
        <w:rPr>
          <w:rFonts w:hint="eastAsia" w:ascii="仿宋" w:hAnsi="仿宋" w:eastAsia="仿宋" w:cs="宋体"/>
          <w:color w:val="000000"/>
          <w:kern w:val="0"/>
          <w:szCs w:val="32"/>
        </w:rPr>
        <w:t>我局以区政府网站作为政府信息公开第一平台，在政府网站中设有</w:t>
      </w:r>
      <w:r>
        <w:rPr>
          <w:rFonts w:ascii="仿宋" w:hAnsi="仿宋" w:eastAsia="仿宋" w:cs="宋体"/>
          <w:color w:val="000000"/>
          <w:kern w:val="0"/>
          <w:szCs w:val="32"/>
        </w:rPr>
        <w:t>13</w:t>
      </w:r>
      <w:r>
        <w:rPr>
          <w:rFonts w:hint="eastAsia" w:ascii="仿宋" w:hAnsi="仿宋" w:eastAsia="仿宋" w:cs="宋体"/>
          <w:color w:val="000000"/>
          <w:kern w:val="0"/>
          <w:szCs w:val="32"/>
        </w:rPr>
        <w:t>个栏目，不断细化各栏目信息发布内容责任分工，突出市场监管工作特点，持续优化服务功能，加大对政府信息更新力度，做好各栏目内容的查漏补缺，全面、准确、及时公开政府信息。</w:t>
      </w:r>
    </w:p>
    <w:p w14:paraId="37AE8CB5">
      <w:pPr>
        <w:widowControl/>
        <w:ind w:firstLine="643"/>
        <w:rPr>
          <w:rFonts w:ascii="楷体" w:hAnsi="楷体" w:eastAsia="楷体" w:cs="楷体"/>
          <w:b/>
          <w:bCs/>
          <w:color w:val="333333"/>
          <w:kern w:val="0"/>
          <w:szCs w:val="32"/>
        </w:rPr>
      </w:pPr>
      <w:r>
        <w:rPr>
          <w:rFonts w:hint="eastAsia" w:ascii="楷体" w:hAnsi="楷体" w:eastAsia="楷体" w:cs="楷体"/>
          <w:b/>
          <w:bCs/>
          <w:color w:val="333333"/>
          <w:kern w:val="0"/>
          <w:szCs w:val="32"/>
        </w:rPr>
        <w:t>（五）监督保障情况。</w:t>
      </w:r>
    </w:p>
    <w:p w14:paraId="1F94C6E0">
      <w:pPr>
        <w:widowControl/>
        <w:ind w:firstLine="640"/>
        <w:rPr>
          <w:rFonts w:ascii="仿宋" w:hAnsi="仿宋" w:eastAsia="仿宋" w:cs="宋体"/>
          <w:color w:val="000000"/>
          <w:kern w:val="0"/>
          <w:szCs w:val="32"/>
        </w:rPr>
      </w:pPr>
      <w:r>
        <w:rPr>
          <w:rFonts w:hint="eastAsia" w:ascii="仿宋" w:hAnsi="仿宋" w:eastAsia="仿宋" w:cs="宋体"/>
          <w:color w:val="000000"/>
          <w:kern w:val="0"/>
          <w:szCs w:val="32"/>
        </w:rPr>
        <w:t>我局在上级部门的业务指导下，切实加强对信息公开工作的监督检查，安排专人每日巡查，</w:t>
      </w:r>
      <w:r>
        <w:rPr>
          <w:rFonts w:hint="eastAsia"/>
          <w:color w:val="333333"/>
          <w:sz w:val="30"/>
          <w:szCs w:val="30"/>
          <w:shd w:val="clear" w:color="auto" w:fill="FFFFFF"/>
        </w:rPr>
        <w:t>督促责任科室及时更新相关信息、回应群众关切</w:t>
      </w:r>
      <w:r>
        <w:rPr>
          <w:rFonts w:hint="eastAsia" w:ascii="仿宋" w:hAnsi="仿宋" w:eastAsia="仿宋" w:cs="宋体"/>
          <w:color w:val="000000"/>
          <w:kern w:val="0"/>
          <w:szCs w:val="32"/>
        </w:rPr>
        <w:t>，充分保障知情权。</w:t>
      </w:r>
    </w:p>
    <w:p w14:paraId="4DAA6981">
      <w:pPr>
        <w:widowControl/>
        <w:ind w:firstLine="640"/>
        <w:rPr>
          <w:rFonts w:ascii="黑体" w:hAnsi="黑体" w:eastAsia="黑体" w:cs="黑体"/>
          <w:color w:val="333333"/>
          <w:kern w:val="0"/>
          <w:szCs w:val="32"/>
        </w:rPr>
      </w:pPr>
      <w:r>
        <w:rPr>
          <w:rFonts w:hint="eastAsia" w:ascii="黑体" w:hAnsi="黑体" w:eastAsia="黑体" w:cs="黑体"/>
          <w:color w:val="333333"/>
          <w:kern w:val="0"/>
          <w:szCs w:val="32"/>
        </w:rPr>
        <w:t>二、主动公开政府信息情况</w:t>
      </w:r>
    </w:p>
    <w:p w14:paraId="199BFA80">
      <w:pPr>
        <w:widowControl/>
        <w:ind w:firstLine="640"/>
        <w:rPr>
          <w:rFonts w:ascii="仿宋" w:hAnsi="仿宋" w:eastAsia="仿宋" w:cs="仿宋"/>
          <w:kern w:val="0"/>
          <w:szCs w:val="32"/>
        </w:rPr>
      </w:pPr>
      <w:r>
        <w:rPr>
          <w:rFonts w:ascii="仿宋" w:hAnsi="仿宋" w:eastAsia="仿宋" w:cs="仿宋"/>
          <w:kern w:val="0"/>
          <w:szCs w:val="32"/>
        </w:rPr>
        <w:t>2023</w:t>
      </w:r>
      <w:r>
        <w:rPr>
          <w:rFonts w:hint="eastAsia" w:ascii="仿宋" w:hAnsi="仿宋" w:eastAsia="仿宋" w:cs="仿宋"/>
          <w:kern w:val="0"/>
          <w:szCs w:val="32"/>
        </w:rPr>
        <w:t>年度，洪山区市场监督管理局共办理行政许可决定</w:t>
      </w:r>
      <w:r>
        <w:rPr>
          <w:rFonts w:ascii="仿宋" w:hAnsi="仿宋" w:eastAsia="仿宋" w:cs="仿宋"/>
          <w:kern w:val="0"/>
          <w:szCs w:val="32"/>
        </w:rPr>
        <w:t>223</w:t>
      </w:r>
      <w:r>
        <w:rPr>
          <w:rFonts w:hint="eastAsia" w:ascii="仿宋" w:hAnsi="仿宋" w:eastAsia="仿宋" w:cs="仿宋"/>
          <w:kern w:val="0"/>
          <w:szCs w:val="32"/>
        </w:rPr>
        <w:t>件。</w:t>
      </w:r>
    </w:p>
    <w:p w14:paraId="492BF9DA">
      <w:pPr>
        <w:widowControl/>
        <w:ind w:firstLine="640"/>
        <w:rPr>
          <w:rFonts w:ascii="仿宋" w:hAnsi="仿宋" w:eastAsia="仿宋" w:cs="仿宋"/>
          <w:kern w:val="0"/>
          <w:szCs w:val="32"/>
        </w:rPr>
      </w:pPr>
      <w:r>
        <w:rPr>
          <w:rFonts w:ascii="仿宋" w:hAnsi="仿宋" w:eastAsia="仿宋" w:cs="仿宋"/>
          <w:kern w:val="0"/>
          <w:szCs w:val="32"/>
        </w:rPr>
        <w:t>2023</w:t>
      </w:r>
      <w:r>
        <w:rPr>
          <w:rFonts w:hint="eastAsia" w:ascii="仿宋" w:hAnsi="仿宋" w:eastAsia="仿宋" w:cs="仿宋"/>
          <w:kern w:val="0"/>
          <w:szCs w:val="32"/>
        </w:rPr>
        <w:t>年度，洪山区市场监督管理局共办理行政处罚数量</w:t>
      </w:r>
      <w:r>
        <w:rPr>
          <w:rFonts w:ascii="仿宋" w:hAnsi="仿宋" w:eastAsia="仿宋" w:cs="仿宋"/>
          <w:kern w:val="0"/>
          <w:szCs w:val="32"/>
        </w:rPr>
        <w:t>920</w:t>
      </w:r>
      <w:r>
        <w:rPr>
          <w:rFonts w:hint="eastAsia" w:ascii="仿宋" w:hAnsi="仿宋" w:eastAsia="仿宋" w:cs="仿宋"/>
          <w:kern w:val="0"/>
          <w:szCs w:val="32"/>
        </w:rPr>
        <w:t>件，处理行政强制</w:t>
      </w:r>
      <w:r>
        <w:rPr>
          <w:rFonts w:ascii="仿宋" w:hAnsi="仿宋" w:eastAsia="仿宋" w:cs="仿宋"/>
          <w:kern w:val="0"/>
          <w:szCs w:val="32"/>
        </w:rPr>
        <w:t>0</w:t>
      </w:r>
      <w:r>
        <w:rPr>
          <w:rFonts w:hint="eastAsia" w:ascii="仿宋" w:hAnsi="仿宋" w:eastAsia="仿宋" w:cs="仿宋"/>
          <w:kern w:val="0"/>
          <w:szCs w:val="32"/>
        </w:rPr>
        <w:t>件。</w:t>
      </w:r>
    </w:p>
    <w:p w14:paraId="035422D5">
      <w:pPr>
        <w:widowControl/>
        <w:ind w:firstLine="640"/>
        <w:rPr>
          <w:rFonts w:ascii="仿宋" w:hAnsi="仿宋" w:eastAsia="仿宋" w:cs="仿宋"/>
          <w:kern w:val="0"/>
          <w:szCs w:val="32"/>
        </w:rPr>
      </w:pPr>
      <w:r>
        <w:rPr>
          <w:rFonts w:ascii="仿宋" w:hAnsi="仿宋" w:eastAsia="仿宋" w:cs="仿宋"/>
          <w:kern w:val="0"/>
          <w:szCs w:val="32"/>
        </w:rPr>
        <w:t>2023</w:t>
      </w:r>
      <w:r>
        <w:rPr>
          <w:rFonts w:hint="eastAsia" w:ascii="仿宋" w:hAnsi="仿宋" w:eastAsia="仿宋" w:cs="仿宋"/>
          <w:kern w:val="0"/>
          <w:szCs w:val="32"/>
        </w:rPr>
        <w:t>年度，洪山区市场监督管理局无行政事业性收费事项。</w:t>
      </w:r>
    </w:p>
    <w:tbl>
      <w:tblPr>
        <w:tblStyle w:val="11"/>
        <w:tblW w:w="5000" w:type="pct"/>
        <w:jc w:val="center"/>
        <w:tblLayout w:type="autofit"/>
        <w:tblCellMar>
          <w:top w:w="0" w:type="dxa"/>
          <w:left w:w="0" w:type="dxa"/>
          <w:bottom w:w="0" w:type="dxa"/>
          <w:right w:w="0" w:type="dxa"/>
        </w:tblCellMar>
      </w:tblPr>
      <w:tblGrid>
        <w:gridCol w:w="2239"/>
        <w:gridCol w:w="2240"/>
        <w:gridCol w:w="2240"/>
        <w:gridCol w:w="2240"/>
      </w:tblGrid>
      <w:tr w14:paraId="1E51B9D3">
        <w:tblPrEx>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66B4F6FE">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第二十条第（一）项</w:t>
            </w:r>
          </w:p>
        </w:tc>
      </w:tr>
      <w:tr w14:paraId="2091B7E0">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tcMar>
              <w:left w:w="57" w:type="dxa"/>
              <w:right w:w="57" w:type="dxa"/>
            </w:tcMar>
            <w:vAlign w:val="center"/>
          </w:tcPr>
          <w:p w14:paraId="6761B567">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信息内容</w:t>
            </w:r>
          </w:p>
        </w:tc>
        <w:tc>
          <w:tcPr>
            <w:tcW w:w="1250" w:type="pct"/>
            <w:tcBorders>
              <w:top w:val="single" w:color="auto" w:sz="8" w:space="0"/>
              <w:left w:val="nil"/>
              <w:bottom w:val="single" w:color="auto" w:sz="8" w:space="0"/>
              <w:right w:val="single" w:color="auto" w:sz="8" w:space="0"/>
            </w:tcBorders>
            <w:tcMar>
              <w:left w:w="57" w:type="dxa"/>
              <w:right w:w="57" w:type="dxa"/>
            </w:tcMar>
            <w:vAlign w:val="center"/>
          </w:tcPr>
          <w:p w14:paraId="4BBA4B3C">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本年</w:t>
            </w:r>
            <w:r>
              <w:rPr>
                <w:rFonts w:hint="eastAsia" w:ascii="宋体" w:hAnsi="宋体" w:eastAsia="宋体" w:cs="宋体"/>
                <w:color w:val="333333"/>
                <w:kern w:val="0"/>
                <w:sz w:val="21"/>
                <w:szCs w:val="21"/>
              </w:rPr>
              <w:t>制发件数</w:t>
            </w:r>
          </w:p>
        </w:tc>
        <w:tc>
          <w:tcPr>
            <w:tcW w:w="1250" w:type="pct"/>
            <w:tcBorders>
              <w:top w:val="single" w:color="auto" w:sz="8" w:space="0"/>
              <w:left w:val="nil"/>
              <w:bottom w:val="single" w:color="auto" w:sz="8" w:space="0"/>
              <w:right w:val="single" w:color="auto" w:sz="4" w:space="0"/>
            </w:tcBorders>
            <w:tcMar>
              <w:left w:w="57" w:type="dxa"/>
              <w:right w:w="57" w:type="dxa"/>
            </w:tcMar>
            <w:vAlign w:val="center"/>
          </w:tcPr>
          <w:p w14:paraId="7B4A4764">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本年废止件数</w:t>
            </w:r>
          </w:p>
        </w:tc>
        <w:tc>
          <w:tcPr>
            <w:tcW w:w="1250" w:type="pct"/>
            <w:tcBorders>
              <w:top w:val="single" w:color="auto" w:sz="8" w:space="0"/>
              <w:left w:val="nil"/>
              <w:bottom w:val="single" w:color="auto" w:sz="8" w:space="0"/>
              <w:right w:val="single" w:color="auto" w:sz="8" w:space="0"/>
            </w:tcBorders>
            <w:tcMar>
              <w:left w:w="57" w:type="dxa"/>
              <w:right w:w="57" w:type="dxa"/>
            </w:tcMar>
            <w:vAlign w:val="center"/>
          </w:tcPr>
          <w:p w14:paraId="7AAD8F96">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现行有效件</w:t>
            </w:r>
            <w:r>
              <w:rPr>
                <w:rFonts w:hint="eastAsia" w:ascii="宋体" w:hAnsi="宋体" w:eastAsia="宋体" w:cs="宋体"/>
                <w:color w:val="333333"/>
                <w:kern w:val="0"/>
                <w:sz w:val="21"/>
                <w:szCs w:val="21"/>
              </w:rPr>
              <w:t>数</w:t>
            </w:r>
          </w:p>
        </w:tc>
      </w:tr>
      <w:tr w14:paraId="434B145F">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tcMar>
              <w:left w:w="57" w:type="dxa"/>
              <w:right w:w="57" w:type="dxa"/>
            </w:tcMar>
            <w:vAlign w:val="center"/>
          </w:tcPr>
          <w:p w14:paraId="4172193D">
            <w:pPr>
              <w:widowControl/>
              <w:spacing w:line="30" w:lineRule="atLeast"/>
              <w:ind w:firstLine="0" w:firstLineChars="0"/>
              <w:jc w:val="left"/>
              <w:rPr>
                <w:rFonts w:ascii="Calibri" w:hAnsi="Calibri" w:eastAsia="宋体"/>
                <w:sz w:val="21"/>
                <w:szCs w:val="21"/>
              </w:rPr>
            </w:pPr>
            <w:r>
              <w:rPr>
                <w:rFonts w:hint="eastAsia" w:ascii="宋体" w:hAnsi="宋体" w:eastAsia="宋体" w:cs="宋体"/>
                <w:color w:val="000000"/>
                <w:kern w:val="0"/>
                <w:sz w:val="21"/>
                <w:szCs w:val="21"/>
              </w:rPr>
              <w:t>规章</w:t>
            </w:r>
          </w:p>
        </w:tc>
        <w:tc>
          <w:tcPr>
            <w:tcW w:w="1250" w:type="pct"/>
            <w:tcBorders>
              <w:top w:val="nil"/>
              <w:left w:val="nil"/>
              <w:bottom w:val="single" w:color="auto" w:sz="8" w:space="0"/>
              <w:right w:val="single" w:color="auto" w:sz="8" w:space="0"/>
            </w:tcBorders>
            <w:tcMar>
              <w:left w:w="57" w:type="dxa"/>
              <w:right w:w="57" w:type="dxa"/>
            </w:tcMar>
            <w:vAlign w:val="center"/>
          </w:tcPr>
          <w:p w14:paraId="2F7C4A38">
            <w:pPr>
              <w:widowControl/>
              <w:spacing w:line="30" w:lineRule="atLeast"/>
              <w:ind w:firstLine="0" w:firstLineChars="0"/>
              <w:jc w:val="center"/>
              <w:rPr>
                <w:rFonts w:ascii="Calibri" w:hAnsi="Calibri" w:eastAsia="宋体"/>
                <w:sz w:val="21"/>
                <w:szCs w:val="21"/>
              </w:rPr>
            </w:pPr>
            <w:r>
              <w:rPr>
                <w:rFonts w:ascii="宋体" w:hAnsi="宋体" w:eastAsia="宋体" w:cs="宋体"/>
                <w:color w:val="000000"/>
                <w:kern w:val="0"/>
                <w:sz w:val="21"/>
                <w:szCs w:val="21"/>
              </w:rPr>
              <w:t>0</w:t>
            </w:r>
          </w:p>
        </w:tc>
        <w:tc>
          <w:tcPr>
            <w:tcW w:w="1250" w:type="pct"/>
            <w:tcBorders>
              <w:top w:val="nil"/>
              <w:left w:val="nil"/>
              <w:bottom w:val="single" w:color="auto" w:sz="8" w:space="0"/>
              <w:right w:val="single" w:color="auto" w:sz="4" w:space="0"/>
            </w:tcBorders>
            <w:tcMar>
              <w:left w:w="57" w:type="dxa"/>
              <w:right w:w="57" w:type="dxa"/>
            </w:tcMar>
            <w:vAlign w:val="center"/>
          </w:tcPr>
          <w:p w14:paraId="3676AB4A">
            <w:pPr>
              <w:widowControl/>
              <w:spacing w:line="30" w:lineRule="atLeast"/>
              <w:ind w:firstLine="0" w:firstLineChars="0"/>
              <w:jc w:val="center"/>
              <w:rPr>
                <w:rFonts w:ascii="Calibri" w:hAnsi="Calibri" w:eastAsia="宋体"/>
                <w:sz w:val="21"/>
                <w:szCs w:val="21"/>
              </w:rPr>
            </w:pPr>
            <w:r>
              <w:rPr>
                <w:rFonts w:ascii="宋体" w:hAnsi="宋体" w:eastAsia="宋体" w:cs="宋体"/>
                <w:color w:val="000000"/>
                <w:kern w:val="0"/>
                <w:sz w:val="21"/>
                <w:szCs w:val="21"/>
              </w:rPr>
              <w:t>0</w:t>
            </w:r>
          </w:p>
        </w:tc>
        <w:tc>
          <w:tcPr>
            <w:tcW w:w="1250" w:type="pct"/>
            <w:tcBorders>
              <w:top w:val="nil"/>
              <w:left w:val="nil"/>
              <w:bottom w:val="single" w:color="auto" w:sz="8" w:space="0"/>
              <w:right w:val="single" w:color="auto" w:sz="8" w:space="0"/>
            </w:tcBorders>
            <w:tcMar>
              <w:left w:w="57" w:type="dxa"/>
              <w:right w:w="57" w:type="dxa"/>
            </w:tcMar>
            <w:vAlign w:val="center"/>
          </w:tcPr>
          <w:p w14:paraId="3790D37F">
            <w:pPr>
              <w:widowControl/>
              <w:spacing w:line="30" w:lineRule="atLeast"/>
              <w:ind w:firstLine="0" w:firstLineChars="0"/>
              <w:jc w:val="center"/>
              <w:rPr>
                <w:rFonts w:ascii="Calibri" w:hAnsi="Calibri" w:eastAsia="宋体"/>
                <w:sz w:val="21"/>
                <w:szCs w:val="21"/>
              </w:rPr>
            </w:pPr>
            <w:r>
              <w:rPr>
                <w:rFonts w:ascii="Calibri" w:hAnsi="Calibri" w:eastAsia="宋体" w:cs="Calibri"/>
                <w:color w:val="333333"/>
                <w:sz w:val="21"/>
                <w:szCs w:val="21"/>
              </w:rPr>
              <w:t>0</w:t>
            </w:r>
          </w:p>
        </w:tc>
      </w:tr>
      <w:tr w14:paraId="775D5386">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tcMar>
              <w:left w:w="57" w:type="dxa"/>
              <w:right w:w="57" w:type="dxa"/>
            </w:tcMar>
            <w:vAlign w:val="center"/>
          </w:tcPr>
          <w:p w14:paraId="44509349">
            <w:pPr>
              <w:widowControl/>
              <w:spacing w:line="30" w:lineRule="atLeast"/>
              <w:ind w:firstLine="0" w:firstLineChars="0"/>
              <w:jc w:val="left"/>
              <w:rPr>
                <w:rFonts w:ascii="Calibri" w:hAnsi="Calibri" w:eastAsia="宋体"/>
                <w:sz w:val="21"/>
                <w:szCs w:val="21"/>
              </w:rPr>
            </w:pPr>
            <w:r>
              <w:rPr>
                <w:rFonts w:hint="eastAsia" w:ascii="宋体" w:hAnsi="宋体" w:eastAsia="宋体" w:cs="宋体"/>
                <w:color w:val="000000"/>
                <w:kern w:val="0"/>
                <w:sz w:val="21"/>
                <w:szCs w:val="21"/>
              </w:rPr>
              <w:t>行政规范性文件</w:t>
            </w:r>
          </w:p>
        </w:tc>
        <w:tc>
          <w:tcPr>
            <w:tcW w:w="1250" w:type="pct"/>
            <w:tcBorders>
              <w:top w:val="nil"/>
              <w:left w:val="nil"/>
              <w:bottom w:val="single" w:color="auto" w:sz="8" w:space="0"/>
              <w:right w:val="single" w:color="auto" w:sz="8" w:space="0"/>
            </w:tcBorders>
            <w:tcMar>
              <w:left w:w="57" w:type="dxa"/>
              <w:right w:w="57" w:type="dxa"/>
            </w:tcMar>
            <w:vAlign w:val="center"/>
          </w:tcPr>
          <w:p w14:paraId="481EB2CD">
            <w:pPr>
              <w:widowControl/>
              <w:spacing w:line="30" w:lineRule="atLeast"/>
              <w:ind w:firstLine="0" w:firstLineChars="0"/>
              <w:jc w:val="center"/>
              <w:rPr>
                <w:rFonts w:ascii="Calibri" w:hAnsi="Calibri" w:eastAsia="宋体"/>
                <w:sz w:val="21"/>
                <w:szCs w:val="21"/>
              </w:rPr>
            </w:pPr>
            <w:r>
              <w:rPr>
                <w:rFonts w:ascii="宋体" w:hAnsi="宋体" w:eastAsia="宋体" w:cs="宋体"/>
                <w:color w:val="000000"/>
                <w:kern w:val="0"/>
                <w:sz w:val="21"/>
                <w:szCs w:val="21"/>
              </w:rPr>
              <w:t>0</w:t>
            </w:r>
          </w:p>
        </w:tc>
        <w:tc>
          <w:tcPr>
            <w:tcW w:w="1250" w:type="pct"/>
            <w:tcBorders>
              <w:top w:val="nil"/>
              <w:left w:val="nil"/>
              <w:bottom w:val="single" w:color="auto" w:sz="8" w:space="0"/>
              <w:right w:val="single" w:color="auto" w:sz="4" w:space="0"/>
            </w:tcBorders>
            <w:tcMar>
              <w:left w:w="57" w:type="dxa"/>
              <w:right w:w="57" w:type="dxa"/>
            </w:tcMar>
            <w:vAlign w:val="center"/>
          </w:tcPr>
          <w:p w14:paraId="12323F96">
            <w:pPr>
              <w:widowControl/>
              <w:spacing w:line="30" w:lineRule="atLeast"/>
              <w:ind w:firstLine="0" w:firstLineChars="0"/>
              <w:jc w:val="center"/>
              <w:rPr>
                <w:rFonts w:ascii="Calibri" w:hAnsi="Calibri" w:eastAsia="宋体"/>
                <w:sz w:val="21"/>
                <w:szCs w:val="21"/>
              </w:rPr>
            </w:pPr>
            <w:r>
              <w:rPr>
                <w:rFonts w:ascii="宋体" w:hAnsi="宋体" w:eastAsia="宋体" w:cs="宋体"/>
                <w:color w:val="000000"/>
                <w:kern w:val="0"/>
                <w:sz w:val="21"/>
                <w:szCs w:val="21"/>
              </w:rPr>
              <w:t>0</w:t>
            </w:r>
          </w:p>
        </w:tc>
        <w:tc>
          <w:tcPr>
            <w:tcW w:w="1250" w:type="pct"/>
            <w:tcBorders>
              <w:top w:val="nil"/>
              <w:left w:val="nil"/>
              <w:bottom w:val="single" w:color="auto" w:sz="8" w:space="0"/>
              <w:right w:val="single" w:color="auto" w:sz="8" w:space="0"/>
            </w:tcBorders>
            <w:tcMar>
              <w:left w:w="57" w:type="dxa"/>
              <w:right w:w="57" w:type="dxa"/>
            </w:tcMar>
            <w:vAlign w:val="center"/>
          </w:tcPr>
          <w:p w14:paraId="14DC66C2">
            <w:pPr>
              <w:widowControl/>
              <w:spacing w:line="30" w:lineRule="atLeast"/>
              <w:ind w:firstLine="0" w:firstLineChars="0"/>
              <w:jc w:val="center"/>
              <w:rPr>
                <w:rFonts w:ascii="Calibri" w:hAnsi="Calibri" w:eastAsia="宋体"/>
                <w:sz w:val="21"/>
                <w:szCs w:val="21"/>
              </w:rPr>
            </w:pPr>
            <w:r>
              <w:rPr>
                <w:rFonts w:ascii="Calibri" w:hAnsi="Calibri" w:eastAsia="宋体" w:cs="Calibri"/>
                <w:color w:val="333333"/>
                <w:sz w:val="21"/>
                <w:szCs w:val="21"/>
              </w:rPr>
              <w:t>0</w:t>
            </w:r>
          </w:p>
        </w:tc>
      </w:tr>
      <w:tr w14:paraId="03308245">
        <w:tblPrEx>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B93678D">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第二十条第（五）项</w:t>
            </w:r>
          </w:p>
        </w:tc>
      </w:tr>
      <w:tr w14:paraId="65CD40BD">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tcMar>
              <w:left w:w="57" w:type="dxa"/>
              <w:right w:w="57" w:type="dxa"/>
            </w:tcMar>
            <w:vAlign w:val="center"/>
          </w:tcPr>
          <w:p w14:paraId="18CB1AFD">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信息内容</w:t>
            </w:r>
          </w:p>
        </w:tc>
        <w:tc>
          <w:tcPr>
            <w:tcW w:w="3750" w:type="pct"/>
            <w:gridSpan w:val="3"/>
            <w:tcBorders>
              <w:top w:val="nil"/>
              <w:left w:val="nil"/>
              <w:bottom w:val="single" w:color="auto" w:sz="8" w:space="0"/>
              <w:right w:val="single" w:color="auto" w:sz="8" w:space="0"/>
            </w:tcBorders>
            <w:tcMar>
              <w:left w:w="57" w:type="dxa"/>
              <w:right w:w="57" w:type="dxa"/>
            </w:tcMar>
            <w:vAlign w:val="center"/>
          </w:tcPr>
          <w:p w14:paraId="56BD882A">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本年处理决定数量</w:t>
            </w:r>
          </w:p>
        </w:tc>
      </w:tr>
      <w:tr w14:paraId="7598D797">
        <w:tblPrEx>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tcMar>
              <w:left w:w="57" w:type="dxa"/>
              <w:right w:w="57" w:type="dxa"/>
            </w:tcMar>
            <w:vAlign w:val="center"/>
          </w:tcPr>
          <w:p w14:paraId="1249A09D">
            <w:pPr>
              <w:widowControl/>
              <w:spacing w:line="30" w:lineRule="atLeast"/>
              <w:ind w:firstLine="0" w:firstLineChars="0"/>
              <w:jc w:val="left"/>
              <w:rPr>
                <w:rFonts w:ascii="Calibri" w:hAnsi="Calibri" w:eastAsia="宋体"/>
                <w:sz w:val="21"/>
                <w:szCs w:val="21"/>
              </w:rPr>
            </w:pPr>
            <w:r>
              <w:rPr>
                <w:rFonts w:hint="eastAsia" w:ascii="宋体" w:hAnsi="宋体" w:eastAsia="宋体" w:cs="宋体"/>
                <w:color w:val="000000"/>
                <w:kern w:val="0"/>
                <w:sz w:val="21"/>
                <w:szCs w:val="21"/>
              </w:rPr>
              <w:t>行政许可</w:t>
            </w:r>
          </w:p>
        </w:tc>
        <w:tc>
          <w:tcPr>
            <w:tcW w:w="3750" w:type="pct"/>
            <w:gridSpan w:val="3"/>
            <w:tcBorders>
              <w:top w:val="single" w:color="auto" w:sz="8" w:space="0"/>
              <w:left w:val="nil"/>
              <w:bottom w:val="single" w:color="auto" w:sz="8" w:space="0"/>
              <w:right w:val="single" w:color="auto" w:sz="8" w:space="0"/>
            </w:tcBorders>
            <w:tcMar>
              <w:left w:w="57" w:type="dxa"/>
              <w:right w:w="57" w:type="dxa"/>
            </w:tcMar>
            <w:vAlign w:val="center"/>
          </w:tcPr>
          <w:p w14:paraId="7C001624">
            <w:pPr>
              <w:widowControl/>
              <w:spacing w:line="30" w:lineRule="atLeast"/>
              <w:ind w:firstLine="0" w:firstLineChars="0"/>
              <w:jc w:val="center"/>
              <w:rPr>
                <w:rFonts w:ascii="Calibri" w:hAnsi="Calibri" w:eastAsia="宋体"/>
                <w:sz w:val="21"/>
                <w:szCs w:val="21"/>
              </w:rPr>
            </w:pPr>
            <w:r>
              <w:rPr>
                <w:rFonts w:ascii="Calibri" w:hAnsi="Calibri" w:eastAsia="宋体" w:cs="Calibri"/>
                <w:color w:val="333333"/>
                <w:sz w:val="21"/>
                <w:szCs w:val="21"/>
              </w:rPr>
              <w:t>223</w:t>
            </w:r>
          </w:p>
        </w:tc>
      </w:tr>
      <w:tr w14:paraId="35B1BD1A">
        <w:tblPrEx>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6277286">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第二十条第（六）项</w:t>
            </w:r>
          </w:p>
        </w:tc>
      </w:tr>
      <w:tr w14:paraId="034EEBD0">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tcMar>
              <w:left w:w="57" w:type="dxa"/>
              <w:right w:w="57" w:type="dxa"/>
            </w:tcMar>
            <w:vAlign w:val="center"/>
          </w:tcPr>
          <w:p w14:paraId="19D980A9">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信息内容</w:t>
            </w:r>
          </w:p>
        </w:tc>
        <w:tc>
          <w:tcPr>
            <w:tcW w:w="3750" w:type="pct"/>
            <w:gridSpan w:val="3"/>
            <w:tcBorders>
              <w:top w:val="single" w:color="auto" w:sz="8" w:space="0"/>
              <w:left w:val="nil"/>
              <w:bottom w:val="single" w:color="auto" w:sz="8" w:space="0"/>
              <w:right w:val="single" w:color="auto" w:sz="8" w:space="0"/>
            </w:tcBorders>
            <w:tcMar>
              <w:left w:w="57" w:type="dxa"/>
              <w:right w:w="57" w:type="dxa"/>
            </w:tcMar>
            <w:vAlign w:val="center"/>
          </w:tcPr>
          <w:p w14:paraId="0AA7F0FB">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本年处理决定数量</w:t>
            </w:r>
          </w:p>
        </w:tc>
      </w:tr>
      <w:tr w14:paraId="66AC0144">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tcMar>
              <w:left w:w="57" w:type="dxa"/>
              <w:right w:w="57" w:type="dxa"/>
            </w:tcMar>
            <w:vAlign w:val="center"/>
          </w:tcPr>
          <w:p w14:paraId="7232EEE8">
            <w:pPr>
              <w:widowControl/>
              <w:spacing w:line="30" w:lineRule="atLeast"/>
              <w:ind w:firstLine="0" w:firstLineChars="0"/>
              <w:jc w:val="left"/>
              <w:rPr>
                <w:rFonts w:ascii="Calibri" w:hAnsi="Calibri" w:eastAsia="宋体"/>
                <w:sz w:val="21"/>
                <w:szCs w:val="21"/>
              </w:rPr>
            </w:pPr>
            <w:r>
              <w:rPr>
                <w:rFonts w:hint="eastAsia" w:ascii="宋体" w:hAnsi="宋体" w:eastAsia="宋体" w:cs="宋体"/>
                <w:color w:val="000000"/>
                <w:kern w:val="0"/>
                <w:sz w:val="21"/>
                <w:szCs w:val="21"/>
              </w:rPr>
              <w:t>行政处罚</w:t>
            </w:r>
          </w:p>
        </w:tc>
        <w:tc>
          <w:tcPr>
            <w:tcW w:w="3750" w:type="pct"/>
            <w:gridSpan w:val="3"/>
            <w:tcBorders>
              <w:top w:val="nil"/>
              <w:left w:val="nil"/>
              <w:bottom w:val="single" w:color="auto" w:sz="8" w:space="0"/>
              <w:right w:val="single" w:color="auto" w:sz="8" w:space="0"/>
            </w:tcBorders>
            <w:tcMar>
              <w:left w:w="57" w:type="dxa"/>
              <w:right w:w="57" w:type="dxa"/>
            </w:tcMar>
            <w:vAlign w:val="center"/>
          </w:tcPr>
          <w:p w14:paraId="7D189C9B">
            <w:pPr>
              <w:widowControl/>
              <w:spacing w:line="30" w:lineRule="atLeast"/>
              <w:ind w:firstLine="0" w:firstLineChars="0"/>
              <w:jc w:val="center"/>
              <w:rPr>
                <w:rFonts w:ascii="Calibri" w:hAnsi="Calibri" w:eastAsia="宋体"/>
                <w:sz w:val="21"/>
                <w:szCs w:val="21"/>
              </w:rPr>
            </w:pPr>
            <w:r>
              <w:rPr>
                <w:rFonts w:ascii="宋体" w:hAnsi="宋体" w:eastAsia="宋体" w:cs="宋体"/>
                <w:color w:val="000000"/>
                <w:kern w:val="0"/>
                <w:sz w:val="21"/>
                <w:szCs w:val="21"/>
              </w:rPr>
              <w:t>920</w:t>
            </w:r>
          </w:p>
        </w:tc>
      </w:tr>
      <w:tr w14:paraId="633AE1D9">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tcMar>
              <w:left w:w="57" w:type="dxa"/>
              <w:right w:w="57" w:type="dxa"/>
            </w:tcMar>
            <w:vAlign w:val="center"/>
          </w:tcPr>
          <w:p w14:paraId="48728942">
            <w:pPr>
              <w:widowControl/>
              <w:spacing w:line="30" w:lineRule="atLeast"/>
              <w:ind w:firstLine="0" w:firstLineChars="0"/>
              <w:jc w:val="left"/>
              <w:rPr>
                <w:rFonts w:ascii="Calibri" w:hAnsi="Calibri" w:eastAsia="宋体"/>
                <w:sz w:val="21"/>
                <w:szCs w:val="21"/>
              </w:rPr>
            </w:pPr>
            <w:r>
              <w:rPr>
                <w:rFonts w:hint="eastAsia" w:ascii="宋体" w:hAnsi="宋体" w:eastAsia="宋体" w:cs="宋体"/>
                <w:color w:val="000000"/>
                <w:kern w:val="0"/>
                <w:sz w:val="21"/>
                <w:szCs w:val="21"/>
              </w:rPr>
              <w:t>行政强制</w:t>
            </w:r>
          </w:p>
        </w:tc>
        <w:tc>
          <w:tcPr>
            <w:tcW w:w="3750" w:type="pct"/>
            <w:gridSpan w:val="3"/>
            <w:tcBorders>
              <w:top w:val="nil"/>
              <w:left w:val="nil"/>
              <w:bottom w:val="single" w:color="auto" w:sz="8" w:space="0"/>
              <w:right w:val="single" w:color="auto" w:sz="8" w:space="0"/>
            </w:tcBorders>
            <w:tcMar>
              <w:left w:w="57" w:type="dxa"/>
              <w:right w:w="57" w:type="dxa"/>
            </w:tcMar>
            <w:vAlign w:val="center"/>
          </w:tcPr>
          <w:p w14:paraId="1EFFFFCC">
            <w:pPr>
              <w:widowControl/>
              <w:spacing w:line="30" w:lineRule="atLeast"/>
              <w:ind w:firstLine="0" w:firstLineChars="0"/>
              <w:jc w:val="center"/>
              <w:rPr>
                <w:rFonts w:ascii="Calibri" w:hAnsi="Calibri" w:eastAsia="宋体"/>
                <w:sz w:val="21"/>
                <w:szCs w:val="21"/>
              </w:rPr>
            </w:pPr>
            <w:r>
              <w:rPr>
                <w:rFonts w:ascii="宋体" w:hAnsi="宋体" w:eastAsia="宋体" w:cs="宋体"/>
                <w:color w:val="000000"/>
                <w:kern w:val="0"/>
                <w:sz w:val="21"/>
                <w:szCs w:val="21"/>
              </w:rPr>
              <w:t>0</w:t>
            </w:r>
          </w:p>
        </w:tc>
      </w:tr>
      <w:tr w14:paraId="22E228DC">
        <w:tblPrEx>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5D8E62F">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第二十条第（八）项</w:t>
            </w:r>
          </w:p>
        </w:tc>
      </w:tr>
      <w:tr w14:paraId="37E112FB">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tcMar>
              <w:left w:w="57" w:type="dxa"/>
              <w:right w:w="57" w:type="dxa"/>
            </w:tcMar>
            <w:vAlign w:val="center"/>
          </w:tcPr>
          <w:p w14:paraId="0C4721F8">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信息内容</w:t>
            </w:r>
          </w:p>
        </w:tc>
        <w:tc>
          <w:tcPr>
            <w:tcW w:w="3750" w:type="pct"/>
            <w:gridSpan w:val="3"/>
            <w:tcBorders>
              <w:top w:val="nil"/>
              <w:left w:val="nil"/>
              <w:bottom w:val="single" w:color="auto" w:sz="8" w:space="0"/>
              <w:right w:val="single" w:color="000000" w:sz="8" w:space="0"/>
            </w:tcBorders>
            <w:tcMar>
              <w:left w:w="57" w:type="dxa"/>
              <w:right w:w="57" w:type="dxa"/>
            </w:tcMar>
            <w:vAlign w:val="center"/>
          </w:tcPr>
          <w:p w14:paraId="70FC5D1F">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本年收费金额（单位：万元）</w:t>
            </w:r>
          </w:p>
        </w:tc>
      </w:tr>
      <w:tr w14:paraId="782616E5">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tcMar>
              <w:left w:w="57" w:type="dxa"/>
              <w:right w:w="57" w:type="dxa"/>
            </w:tcMar>
            <w:vAlign w:val="center"/>
          </w:tcPr>
          <w:p w14:paraId="76A18306">
            <w:pPr>
              <w:widowControl/>
              <w:spacing w:line="30" w:lineRule="atLeast"/>
              <w:ind w:firstLine="0" w:firstLineChars="0"/>
              <w:jc w:val="left"/>
              <w:rPr>
                <w:rFonts w:ascii="Calibri" w:hAnsi="Calibri" w:eastAsia="宋体"/>
                <w:sz w:val="21"/>
                <w:szCs w:val="21"/>
              </w:rPr>
            </w:pPr>
            <w:r>
              <w:rPr>
                <w:rFonts w:hint="eastAsia" w:ascii="宋体" w:hAnsi="宋体" w:eastAsia="宋体" w:cs="宋体"/>
                <w:color w:val="000000"/>
                <w:kern w:val="0"/>
                <w:sz w:val="21"/>
                <w:szCs w:val="21"/>
              </w:rPr>
              <w:t>行政事业性收费</w:t>
            </w:r>
          </w:p>
        </w:tc>
        <w:tc>
          <w:tcPr>
            <w:tcW w:w="3750" w:type="pct"/>
            <w:gridSpan w:val="3"/>
            <w:tcBorders>
              <w:top w:val="nil"/>
              <w:left w:val="nil"/>
              <w:bottom w:val="single" w:color="auto" w:sz="8" w:space="0"/>
              <w:right w:val="single" w:color="000000" w:sz="8" w:space="0"/>
            </w:tcBorders>
            <w:tcMar>
              <w:left w:w="57" w:type="dxa"/>
              <w:right w:w="57" w:type="dxa"/>
            </w:tcMar>
            <w:vAlign w:val="center"/>
          </w:tcPr>
          <w:p w14:paraId="703983C3">
            <w:pPr>
              <w:spacing w:line="240" w:lineRule="auto"/>
              <w:ind w:firstLine="0" w:firstLineChars="0"/>
              <w:jc w:val="center"/>
              <w:rPr>
                <w:rFonts w:ascii="宋体" w:hAnsi="宋体" w:eastAsia="宋体" w:cs="宋体"/>
                <w:color w:val="333333"/>
                <w:sz w:val="21"/>
                <w:szCs w:val="21"/>
              </w:rPr>
            </w:pPr>
            <w:r>
              <w:rPr>
                <w:rFonts w:ascii="宋体" w:hAnsi="宋体" w:eastAsia="宋体" w:cs="宋体"/>
                <w:color w:val="333333"/>
                <w:sz w:val="21"/>
                <w:szCs w:val="21"/>
              </w:rPr>
              <w:t>0</w:t>
            </w:r>
          </w:p>
        </w:tc>
      </w:tr>
    </w:tbl>
    <w:p w14:paraId="58A2A7B4">
      <w:pPr>
        <w:widowControl/>
        <w:spacing w:line="240" w:lineRule="auto"/>
        <w:ind w:firstLine="0" w:firstLineChars="0"/>
        <w:jc w:val="left"/>
        <w:rPr>
          <w:rFonts w:ascii="Calibri" w:hAnsi="Calibri" w:eastAsia="宋体"/>
          <w:sz w:val="21"/>
        </w:rPr>
      </w:pPr>
    </w:p>
    <w:p w14:paraId="72F2EC99">
      <w:pPr>
        <w:widowControl/>
        <w:ind w:firstLine="640"/>
        <w:rPr>
          <w:rFonts w:ascii="黑体" w:hAnsi="黑体" w:eastAsia="黑体" w:cs="黑体"/>
          <w:color w:val="333333"/>
          <w:kern w:val="0"/>
          <w:szCs w:val="32"/>
        </w:rPr>
      </w:pPr>
      <w:r>
        <w:rPr>
          <w:rFonts w:hint="eastAsia" w:ascii="黑体" w:hAnsi="黑体" w:eastAsia="黑体" w:cs="黑体"/>
          <w:color w:val="333333"/>
          <w:kern w:val="0"/>
          <w:szCs w:val="32"/>
        </w:rPr>
        <w:t>三、收到和处理政府信息公开申请情况</w:t>
      </w:r>
    </w:p>
    <w:p w14:paraId="5BAECDE7">
      <w:pPr>
        <w:widowControl/>
        <w:ind w:firstLine="640"/>
        <w:rPr>
          <w:rFonts w:ascii="仿宋" w:hAnsi="仿宋" w:eastAsia="仿宋" w:cs="仿宋"/>
          <w:kern w:val="0"/>
          <w:szCs w:val="32"/>
        </w:rPr>
      </w:pPr>
      <w:r>
        <w:rPr>
          <w:rFonts w:ascii="仿宋" w:hAnsi="仿宋" w:eastAsia="仿宋" w:cs="仿宋"/>
          <w:kern w:val="0"/>
          <w:szCs w:val="32"/>
        </w:rPr>
        <w:t>2023</w:t>
      </w:r>
      <w:r>
        <w:rPr>
          <w:rFonts w:hint="eastAsia" w:ascii="仿宋" w:hAnsi="仿宋" w:eastAsia="仿宋" w:cs="仿宋"/>
          <w:kern w:val="0"/>
          <w:szCs w:val="32"/>
        </w:rPr>
        <w:t>年，我局共受理政府信息公开申请</w:t>
      </w:r>
      <w:r>
        <w:rPr>
          <w:rFonts w:ascii="仿宋" w:hAnsi="仿宋" w:eastAsia="仿宋" w:cs="仿宋"/>
          <w:kern w:val="0"/>
          <w:szCs w:val="32"/>
        </w:rPr>
        <w:t>53</w:t>
      </w:r>
      <w:r>
        <w:rPr>
          <w:rFonts w:hint="eastAsia" w:ascii="仿宋" w:hAnsi="仿宋" w:eastAsia="仿宋" w:cs="仿宋"/>
          <w:kern w:val="0"/>
          <w:szCs w:val="32"/>
        </w:rPr>
        <w:t>件，从申请主体上看，</w:t>
      </w:r>
      <w:r>
        <w:rPr>
          <w:rFonts w:ascii="仿宋" w:hAnsi="仿宋" w:eastAsia="仿宋" w:cs="仿宋"/>
          <w:kern w:val="0"/>
          <w:szCs w:val="32"/>
        </w:rPr>
        <w:t>52</w:t>
      </w:r>
      <w:r>
        <w:rPr>
          <w:rFonts w:hint="eastAsia" w:ascii="仿宋" w:hAnsi="仿宋" w:eastAsia="仿宋" w:cs="仿宋"/>
          <w:kern w:val="0"/>
          <w:szCs w:val="32"/>
        </w:rPr>
        <w:t>件为公民个人申请，</w:t>
      </w:r>
      <w:r>
        <w:rPr>
          <w:rFonts w:ascii="仿宋" w:hAnsi="仿宋" w:eastAsia="仿宋" w:cs="仿宋"/>
          <w:kern w:val="0"/>
          <w:szCs w:val="32"/>
        </w:rPr>
        <w:t>1</w:t>
      </w:r>
      <w:r>
        <w:rPr>
          <w:rFonts w:hint="eastAsia" w:ascii="仿宋" w:hAnsi="仿宋" w:eastAsia="仿宋" w:cs="仿宋"/>
          <w:kern w:val="0"/>
          <w:szCs w:val="32"/>
        </w:rPr>
        <w:t>件为商业企业申请。从提交方式上看，</w:t>
      </w:r>
      <w:r>
        <w:rPr>
          <w:rFonts w:ascii="仿宋" w:hAnsi="仿宋" w:eastAsia="仿宋" w:cs="仿宋"/>
          <w:kern w:val="0"/>
          <w:szCs w:val="32"/>
        </w:rPr>
        <w:t>27</w:t>
      </w:r>
      <w:r>
        <w:rPr>
          <w:rFonts w:hint="eastAsia" w:ascii="仿宋" w:hAnsi="仿宋" w:eastAsia="仿宋" w:cs="仿宋"/>
          <w:kern w:val="0"/>
          <w:szCs w:val="32"/>
        </w:rPr>
        <w:t>件为网络平台申请，</w:t>
      </w:r>
      <w:r>
        <w:rPr>
          <w:rFonts w:ascii="仿宋" w:hAnsi="仿宋" w:eastAsia="仿宋" w:cs="仿宋"/>
          <w:kern w:val="0"/>
          <w:szCs w:val="32"/>
        </w:rPr>
        <w:t>26</w:t>
      </w:r>
      <w:r>
        <w:rPr>
          <w:rFonts w:hint="eastAsia" w:ascii="仿宋" w:hAnsi="仿宋" w:eastAsia="仿宋" w:cs="仿宋"/>
          <w:kern w:val="0"/>
          <w:szCs w:val="32"/>
        </w:rPr>
        <w:t>件为挂号信申请。从答复结果来看，</w:t>
      </w:r>
      <w:r>
        <w:rPr>
          <w:rFonts w:ascii="仿宋" w:hAnsi="仿宋" w:eastAsia="仿宋" w:cs="仿宋"/>
          <w:kern w:val="0"/>
          <w:szCs w:val="32"/>
        </w:rPr>
        <w:t>3</w:t>
      </w:r>
      <w:r>
        <w:rPr>
          <w:rFonts w:hint="eastAsia" w:ascii="仿宋" w:hAnsi="仿宋" w:eastAsia="仿宋" w:cs="仿宋"/>
          <w:kern w:val="0"/>
          <w:szCs w:val="32"/>
        </w:rPr>
        <w:t>件申请人撤销申请，</w:t>
      </w:r>
      <w:r>
        <w:rPr>
          <w:rFonts w:ascii="仿宋" w:hAnsi="仿宋" w:eastAsia="仿宋" w:cs="仿宋"/>
          <w:kern w:val="0"/>
          <w:szCs w:val="32"/>
        </w:rPr>
        <w:t>23</w:t>
      </w:r>
      <w:r>
        <w:rPr>
          <w:rFonts w:hint="eastAsia" w:ascii="仿宋" w:hAnsi="仿宋" w:eastAsia="仿宋" w:cs="仿宋"/>
          <w:kern w:val="0"/>
          <w:szCs w:val="32"/>
        </w:rPr>
        <w:t>件予以公开；</w:t>
      </w:r>
      <w:r>
        <w:rPr>
          <w:rFonts w:ascii="仿宋" w:hAnsi="仿宋" w:eastAsia="仿宋" w:cs="仿宋"/>
          <w:kern w:val="0"/>
          <w:szCs w:val="32"/>
        </w:rPr>
        <w:t>2</w:t>
      </w:r>
      <w:r>
        <w:rPr>
          <w:rFonts w:hint="eastAsia" w:ascii="仿宋" w:hAnsi="仿宋" w:eastAsia="仿宋" w:cs="仿宋"/>
          <w:kern w:val="0"/>
          <w:szCs w:val="32"/>
        </w:rPr>
        <w:t>件部分公开，</w:t>
      </w:r>
      <w:r>
        <w:rPr>
          <w:rFonts w:ascii="仿宋" w:hAnsi="仿宋" w:eastAsia="仿宋" w:cs="仿宋"/>
          <w:kern w:val="0"/>
          <w:szCs w:val="32"/>
        </w:rPr>
        <w:t>3</w:t>
      </w:r>
      <w:r>
        <w:rPr>
          <w:rFonts w:hint="eastAsia" w:ascii="仿宋" w:hAnsi="仿宋" w:eastAsia="仿宋" w:cs="仿宋"/>
          <w:kern w:val="0"/>
          <w:szCs w:val="32"/>
        </w:rPr>
        <w:t>件属于三类内部事务信息不予公开，</w:t>
      </w:r>
      <w:r>
        <w:rPr>
          <w:rFonts w:ascii="仿宋" w:hAnsi="仿宋" w:eastAsia="仿宋" w:cs="仿宋"/>
          <w:kern w:val="0"/>
          <w:szCs w:val="32"/>
        </w:rPr>
        <w:t>1</w:t>
      </w:r>
      <w:r>
        <w:rPr>
          <w:rFonts w:hint="eastAsia" w:ascii="仿宋" w:hAnsi="仿宋" w:eastAsia="仿宋" w:cs="仿宋"/>
          <w:kern w:val="0"/>
          <w:szCs w:val="32"/>
        </w:rPr>
        <w:t>件属于四类过程性信息不予公开，</w:t>
      </w:r>
      <w:r>
        <w:rPr>
          <w:rFonts w:ascii="仿宋" w:hAnsi="仿宋" w:eastAsia="仿宋" w:cs="仿宋"/>
          <w:kern w:val="0"/>
          <w:szCs w:val="32"/>
        </w:rPr>
        <w:t>3</w:t>
      </w:r>
      <w:r>
        <w:rPr>
          <w:rFonts w:hint="eastAsia" w:ascii="仿宋" w:hAnsi="仿宋" w:eastAsia="仿宋" w:cs="仿宋"/>
          <w:kern w:val="0"/>
          <w:szCs w:val="32"/>
        </w:rPr>
        <w:t>件属于行政执法案件不予公开，</w:t>
      </w:r>
      <w:r>
        <w:rPr>
          <w:rFonts w:ascii="仿宋" w:hAnsi="仿宋" w:eastAsia="仿宋" w:cs="仿宋"/>
          <w:kern w:val="0"/>
          <w:szCs w:val="32"/>
        </w:rPr>
        <w:t>5</w:t>
      </w:r>
      <w:r>
        <w:rPr>
          <w:rFonts w:hint="eastAsia" w:ascii="仿宋" w:hAnsi="仿宋" w:eastAsia="仿宋" w:cs="仿宋"/>
          <w:kern w:val="0"/>
          <w:szCs w:val="32"/>
        </w:rPr>
        <w:t>件不属于本机关不掌握相关政府信息无法提供，</w:t>
      </w:r>
      <w:r>
        <w:rPr>
          <w:rFonts w:ascii="仿宋" w:hAnsi="仿宋" w:eastAsia="仿宋" w:cs="仿宋"/>
          <w:kern w:val="0"/>
          <w:szCs w:val="32"/>
        </w:rPr>
        <w:t>5</w:t>
      </w:r>
      <w:r>
        <w:rPr>
          <w:rFonts w:hint="eastAsia" w:ascii="仿宋" w:hAnsi="仿宋" w:eastAsia="仿宋" w:cs="仿宋"/>
          <w:kern w:val="0"/>
          <w:szCs w:val="32"/>
        </w:rPr>
        <w:t>件没有现成信息需要另行制作无法提供，</w:t>
      </w:r>
      <w:r>
        <w:rPr>
          <w:rFonts w:ascii="仿宋" w:hAnsi="仿宋" w:eastAsia="仿宋" w:cs="仿宋"/>
          <w:kern w:val="0"/>
          <w:szCs w:val="32"/>
        </w:rPr>
        <w:t>1</w:t>
      </w:r>
      <w:r>
        <w:rPr>
          <w:rFonts w:hint="eastAsia" w:ascii="仿宋" w:hAnsi="仿宋" w:eastAsia="仿宋" w:cs="仿宋"/>
          <w:kern w:val="0"/>
          <w:szCs w:val="32"/>
        </w:rPr>
        <w:t>件重复申请不予处理。</w:t>
      </w:r>
    </w:p>
    <w:p w14:paraId="6E7654E7">
      <w:pPr>
        <w:widowControl/>
        <w:ind w:firstLine="640"/>
        <w:rPr>
          <w:rFonts w:ascii="仿宋" w:hAnsi="仿宋" w:eastAsia="仿宋" w:cs="仿宋"/>
          <w:kern w:val="0"/>
          <w:szCs w:val="32"/>
        </w:rPr>
      </w:pPr>
    </w:p>
    <w:tbl>
      <w:tblPr>
        <w:tblStyle w:val="11"/>
        <w:tblW w:w="481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57" w:type="dxa"/>
          <w:bottom w:w="0" w:type="dxa"/>
          <w:right w:w="57" w:type="dxa"/>
        </w:tblCellMar>
      </w:tblPr>
      <w:tblGrid>
        <w:gridCol w:w="663"/>
        <w:gridCol w:w="814"/>
        <w:gridCol w:w="2997"/>
        <w:gridCol w:w="533"/>
        <w:gridCol w:w="604"/>
        <w:gridCol w:w="604"/>
        <w:gridCol w:w="604"/>
        <w:gridCol w:w="604"/>
        <w:gridCol w:w="633"/>
        <w:gridCol w:w="626"/>
      </w:tblGrid>
      <w:tr w14:paraId="140881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77" w:type="pct"/>
            <w:gridSpan w:val="3"/>
            <w:vMerge w:val="restart"/>
            <w:tcBorders>
              <w:top w:val="single" w:color="auto" w:sz="8" w:space="0"/>
              <w:left w:val="single" w:color="auto" w:sz="8" w:space="0"/>
              <w:right w:val="single" w:color="auto" w:sz="8" w:space="0"/>
            </w:tcBorders>
            <w:tcMar>
              <w:left w:w="108" w:type="dxa"/>
              <w:right w:w="108" w:type="dxa"/>
            </w:tcMar>
            <w:vAlign w:val="center"/>
          </w:tcPr>
          <w:p w14:paraId="74C93D1C">
            <w:pPr>
              <w:widowControl/>
              <w:spacing w:line="30" w:lineRule="atLeast"/>
              <w:ind w:firstLine="0" w:firstLineChars="0"/>
              <w:jc w:val="left"/>
              <w:rPr>
                <w:rFonts w:ascii="Calibri" w:hAnsi="Calibri" w:eastAsia="宋体"/>
                <w:sz w:val="21"/>
              </w:rPr>
            </w:pPr>
            <w:r>
              <w:rPr>
                <w:rFonts w:hint="eastAsia" w:ascii="楷体" w:hAnsi="楷体" w:eastAsia="楷体" w:cs="楷体"/>
                <w:color w:val="333333"/>
                <w:kern w:val="0"/>
                <w:sz w:val="20"/>
                <w:szCs w:val="20"/>
              </w:rPr>
              <w:t>（本列数据的勾稽关系为：第一项加第二项之和，等于第三项加第四项之和）</w:t>
            </w:r>
          </w:p>
        </w:tc>
        <w:tc>
          <w:tcPr>
            <w:tcW w:w="2422" w:type="pct"/>
            <w:gridSpan w:val="7"/>
            <w:tcBorders>
              <w:top w:val="single" w:color="auto" w:sz="8" w:space="0"/>
              <w:left w:val="nil"/>
              <w:bottom w:val="single" w:color="auto" w:sz="8" w:space="0"/>
              <w:right w:val="single" w:color="auto" w:sz="8" w:space="0"/>
            </w:tcBorders>
            <w:vAlign w:val="center"/>
          </w:tcPr>
          <w:p w14:paraId="57108E45">
            <w:pPr>
              <w:widowControl/>
              <w:spacing w:line="30" w:lineRule="atLeast"/>
              <w:ind w:firstLine="0" w:firstLineChars="0"/>
              <w:jc w:val="center"/>
              <w:rPr>
                <w:rFonts w:ascii="宋体" w:hAnsi="宋体" w:eastAsia="宋体" w:cs="宋体"/>
                <w:sz w:val="21"/>
                <w:szCs w:val="21"/>
              </w:rPr>
            </w:pPr>
            <w:r>
              <w:rPr>
                <w:rFonts w:hint="eastAsia" w:ascii="宋体" w:hAnsi="宋体" w:eastAsia="宋体" w:cs="宋体"/>
                <w:color w:val="333333"/>
                <w:kern w:val="0"/>
                <w:sz w:val="21"/>
                <w:szCs w:val="21"/>
              </w:rPr>
              <w:t>申请人情况</w:t>
            </w:r>
          </w:p>
        </w:tc>
      </w:tr>
      <w:tr w14:paraId="276A45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77" w:type="pct"/>
            <w:gridSpan w:val="3"/>
            <w:vMerge w:val="continue"/>
            <w:tcBorders>
              <w:top w:val="single" w:color="auto" w:sz="8" w:space="0"/>
              <w:left w:val="single" w:color="auto" w:sz="8" w:space="0"/>
              <w:right w:val="single" w:color="auto" w:sz="8" w:space="0"/>
            </w:tcBorders>
            <w:tcMar>
              <w:left w:w="108" w:type="dxa"/>
              <w:right w:w="108" w:type="dxa"/>
            </w:tcMar>
            <w:vAlign w:val="center"/>
          </w:tcPr>
          <w:p w14:paraId="66BD56DB">
            <w:pPr>
              <w:spacing w:line="240" w:lineRule="auto"/>
              <w:ind w:firstLine="0" w:firstLineChars="0"/>
              <w:jc w:val="left"/>
              <w:rPr>
                <w:rFonts w:ascii="宋体" w:hAnsi="宋体" w:eastAsia="宋体" w:cs="宋体"/>
                <w:color w:val="333333"/>
                <w:sz w:val="21"/>
                <w:szCs w:val="21"/>
              </w:rPr>
            </w:pPr>
          </w:p>
        </w:tc>
        <w:tc>
          <w:tcPr>
            <w:tcW w:w="307" w:type="pct"/>
            <w:vMerge w:val="restart"/>
            <w:tcBorders>
              <w:top w:val="nil"/>
              <w:left w:val="nil"/>
              <w:bottom w:val="single" w:color="auto" w:sz="8" w:space="0"/>
              <w:right w:val="single" w:color="auto" w:sz="8" w:space="0"/>
            </w:tcBorders>
            <w:vAlign w:val="center"/>
          </w:tcPr>
          <w:p w14:paraId="52D6B14D">
            <w:pPr>
              <w:widowControl/>
              <w:spacing w:line="30" w:lineRule="atLeast"/>
              <w:ind w:firstLine="0" w:firstLineChars="0"/>
              <w:jc w:val="center"/>
              <w:rPr>
                <w:rFonts w:ascii="宋体" w:hAnsi="宋体" w:eastAsia="宋体" w:cs="宋体"/>
                <w:sz w:val="21"/>
                <w:szCs w:val="21"/>
              </w:rPr>
            </w:pPr>
            <w:r>
              <w:rPr>
                <w:rFonts w:hint="eastAsia" w:ascii="宋体" w:hAnsi="宋体" w:eastAsia="宋体" w:cs="宋体"/>
                <w:color w:val="333333"/>
                <w:kern w:val="0"/>
                <w:sz w:val="21"/>
                <w:szCs w:val="21"/>
              </w:rPr>
              <w:t>自然人</w:t>
            </w:r>
          </w:p>
        </w:tc>
        <w:tc>
          <w:tcPr>
            <w:tcW w:w="1756" w:type="pct"/>
            <w:gridSpan w:val="5"/>
            <w:tcBorders>
              <w:top w:val="single" w:color="auto" w:sz="8" w:space="0"/>
              <w:left w:val="nil"/>
              <w:bottom w:val="single" w:color="auto" w:sz="8" w:space="0"/>
              <w:right w:val="single" w:color="auto" w:sz="8" w:space="0"/>
            </w:tcBorders>
            <w:vAlign w:val="center"/>
          </w:tcPr>
          <w:p w14:paraId="733995AF">
            <w:pPr>
              <w:widowControl/>
              <w:spacing w:line="30" w:lineRule="atLeast"/>
              <w:ind w:firstLine="0" w:firstLineChars="0"/>
              <w:jc w:val="center"/>
              <w:rPr>
                <w:rFonts w:ascii="宋体" w:hAnsi="宋体" w:eastAsia="宋体" w:cs="宋体"/>
                <w:sz w:val="21"/>
                <w:szCs w:val="21"/>
              </w:rPr>
            </w:pPr>
            <w:r>
              <w:rPr>
                <w:rFonts w:hint="eastAsia" w:ascii="宋体" w:hAnsi="宋体" w:eastAsia="宋体" w:cs="宋体"/>
                <w:color w:val="333333"/>
                <w:kern w:val="0"/>
                <w:sz w:val="21"/>
                <w:szCs w:val="21"/>
              </w:rPr>
              <w:t>法人或其他组织</w:t>
            </w:r>
          </w:p>
        </w:tc>
        <w:tc>
          <w:tcPr>
            <w:tcW w:w="358" w:type="pct"/>
            <w:vMerge w:val="restart"/>
            <w:tcBorders>
              <w:top w:val="single" w:color="auto" w:sz="8" w:space="0"/>
              <w:left w:val="nil"/>
              <w:right w:val="single" w:color="auto" w:sz="8" w:space="0"/>
            </w:tcBorders>
            <w:vAlign w:val="center"/>
          </w:tcPr>
          <w:p w14:paraId="2565F5E6">
            <w:pPr>
              <w:widowControl/>
              <w:spacing w:line="30" w:lineRule="atLeast"/>
              <w:ind w:firstLine="0" w:firstLineChars="0"/>
              <w:jc w:val="center"/>
              <w:rPr>
                <w:rFonts w:ascii="宋体" w:hAnsi="宋体" w:eastAsia="宋体" w:cs="宋体"/>
                <w:sz w:val="21"/>
                <w:szCs w:val="21"/>
              </w:rPr>
            </w:pPr>
            <w:r>
              <w:rPr>
                <w:rFonts w:hint="eastAsia" w:ascii="宋体" w:hAnsi="宋体" w:eastAsia="宋体" w:cs="宋体"/>
                <w:color w:val="333333"/>
                <w:kern w:val="0"/>
                <w:sz w:val="21"/>
                <w:szCs w:val="21"/>
              </w:rPr>
              <w:t>总计</w:t>
            </w:r>
          </w:p>
        </w:tc>
      </w:tr>
      <w:tr w14:paraId="07D108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77" w:type="pct"/>
            <w:gridSpan w:val="3"/>
            <w:vMerge w:val="continue"/>
            <w:tcBorders>
              <w:top w:val="single" w:color="auto" w:sz="8" w:space="0"/>
              <w:left w:val="single" w:color="auto" w:sz="8" w:space="0"/>
              <w:right w:val="single" w:color="auto" w:sz="8" w:space="0"/>
            </w:tcBorders>
            <w:tcMar>
              <w:left w:w="108" w:type="dxa"/>
              <w:right w:w="108" w:type="dxa"/>
            </w:tcMar>
            <w:vAlign w:val="center"/>
          </w:tcPr>
          <w:p w14:paraId="0544201C">
            <w:pPr>
              <w:spacing w:line="240" w:lineRule="auto"/>
              <w:ind w:firstLine="0" w:firstLineChars="0"/>
              <w:jc w:val="left"/>
              <w:rPr>
                <w:rFonts w:ascii="宋体" w:hAnsi="宋体" w:eastAsia="宋体" w:cs="宋体"/>
                <w:color w:val="333333"/>
                <w:sz w:val="21"/>
                <w:szCs w:val="21"/>
              </w:rPr>
            </w:pPr>
          </w:p>
        </w:tc>
        <w:tc>
          <w:tcPr>
            <w:tcW w:w="307" w:type="pct"/>
            <w:vMerge w:val="continue"/>
            <w:tcBorders>
              <w:top w:val="nil"/>
              <w:left w:val="nil"/>
              <w:bottom w:val="single" w:color="auto" w:sz="8" w:space="0"/>
              <w:right w:val="single" w:color="auto" w:sz="8" w:space="0"/>
            </w:tcBorders>
            <w:vAlign w:val="center"/>
          </w:tcPr>
          <w:p w14:paraId="26624757">
            <w:pPr>
              <w:spacing w:line="240" w:lineRule="auto"/>
              <w:ind w:firstLine="0" w:firstLineChars="0"/>
              <w:jc w:val="left"/>
              <w:rPr>
                <w:rFonts w:ascii="宋体" w:hAnsi="宋体" w:eastAsia="宋体" w:cs="宋体"/>
                <w:color w:val="333333"/>
                <w:sz w:val="21"/>
                <w:szCs w:val="21"/>
              </w:rPr>
            </w:pPr>
          </w:p>
        </w:tc>
        <w:tc>
          <w:tcPr>
            <w:tcW w:w="348" w:type="pct"/>
            <w:tcBorders>
              <w:top w:val="nil"/>
              <w:left w:val="nil"/>
              <w:bottom w:val="single" w:color="auto" w:sz="8" w:space="0"/>
              <w:right w:val="single" w:color="auto" w:sz="8" w:space="0"/>
            </w:tcBorders>
            <w:vAlign w:val="center"/>
          </w:tcPr>
          <w:p w14:paraId="5EB5DEFE">
            <w:pPr>
              <w:widowControl/>
              <w:spacing w:line="30" w:lineRule="atLeast"/>
              <w:ind w:firstLine="0" w:firstLineChars="0"/>
              <w:jc w:val="center"/>
              <w:rPr>
                <w:rFonts w:ascii="宋体" w:hAnsi="宋体" w:eastAsia="宋体" w:cs="宋体"/>
                <w:sz w:val="21"/>
                <w:szCs w:val="21"/>
              </w:rPr>
            </w:pPr>
            <w:r>
              <w:rPr>
                <w:rFonts w:hint="eastAsia" w:ascii="宋体" w:hAnsi="宋体" w:eastAsia="宋体" w:cs="宋体"/>
                <w:color w:val="333333"/>
                <w:kern w:val="0"/>
                <w:sz w:val="21"/>
                <w:szCs w:val="21"/>
              </w:rPr>
              <w:t>商业</w:t>
            </w:r>
          </w:p>
          <w:p w14:paraId="3E46F590">
            <w:pPr>
              <w:widowControl/>
              <w:spacing w:line="30" w:lineRule="atLeast"/>
              <w:ind w:firstLine="0" w:firstLineChars="0"/>
              <w:jc w:val="center"/>
              <w:rPr>
                <w:rFonts w:ascii="宋体" w:hAnsi="宋体" w:eastAsia="宋体" w:cs="宋体"/>
                <w:sz w:val="21"/>
                <w:szCs w:val="21"/>
              </w:rPr>
            </w:pPr>
            <w:r>
              <w:rPr>
                <w:rFonts w:hint="eastAsia" w:ascii="宋体" w:hAnsi="宋体" w:eastAsia="宋体" w:cs="宋体"/>
                <w:color w:val="333333"/>
                <w:kern w:val="0"/>
                <w:sz w:val="21"/>
                <w:szCs w:val="21"/>
              </w:rPr>
              <w:t>企业</w:t>
            </w:r>
          </w:p>
        </w:tc>
        <w:tc>
          <w:tcPr>
            <w:tcW w:w="348" w:type="pct"/>
            <w:tcBorders>
              <w:top w:val="nil"/>
              <w:left w:val="nil"/>
              <w:bottom w:val="single" w:color="auto" w:sz="8" w:space="0"/>
              <w:right w:val="single" w:color="auto" w:sz="8" w:space="0"/>
            </w:tcBorders>
            <w:vAlign w:val="center"/>
          </w:tcPr>
          <w:p w14:paraId="360D3D99">
            <w:pPr>
              <w:widowControl/>
              <w:spacing w:line="30" w:lineRule="atLeast"/>
              <w:ind w:firstLine="0" w:firstLineChars="0"/>
              <w:jc w:val="center"/>
              <w:rPr>
                <w:rFonts w:ascii="宋体" w:hAnsi="宋体" w:eastAsia="宋体" w:cs="宋体"/>
                <w:sz w:val="21"/>
                <w:szCs w:val="21"/>
              </w:rPr>
            </w:pPr>
            <w:r>
              <w:rPr>
                <w:rFonts w:hint="eastAsia" w:ascii="宋体" w:hAnsi="宋体" w:eastAsia="宋体" w:cs="宋体"/>
                <w:color w:val="333333"/>
                <w:kern w:val="0"/>
                <w:sz w:val="21"/>
                <w:szCs w:val="21"/>
              </w:rPr>
              <w:t>科研</w:t>
            </w:r>
          </w:p>
          <w:p w14:paraId="68E630AD">
            <w:pPr>
              <w:widowControl/>
              <w:spacing w:line="30" w:lineRule="atLeast"/>
              <w:ind w:firstLine="0" w:firstLineChars="0"/>
              <w:jc w:val="center"/>
              <w:rPr>
                <w:rFonts w:ascii="宋体" w:hAnsi="宋体" w:eastAsia="宋体" w:cs="宋体"/>
                <w:sz w:val="21"/>
                <w:szCs w:val="21"/>
              </w:rPr>
            </w:pPr>
            <w:r>
              <w:rPr>
                <w:rFonts w:hint="eastAsia" w:ascii="宋体" w:hAnsi="宋体" w:eastAsia="宋体" w:cs="宋体"/>
                <w:color w:val="333333"/>
                <w:kern w:val="0"/>
                <w:sz w:val="21"/>
                <w:szCs w:val="21"/>
              </w:rPr>
              <w:t>机构</w:t>
            </w:r>
          </w:p>
        </w:tc>
        <w:tc>
          <w:tcPr>
            <w:tcW w:w="348" w:type="pct"/>
            <w:tcBorders>
              <w:top w:val="single" w:color="auto" w:sz="8" w:space="0"/>
              <w:left w:val="nil"/>
              <w:bottom w:val="single" w:color="auto" w:sz="8" w:space="0"/>
              <w:right w:val="single" w:color="auto" w:sz="8" w:space="0"/>
            </w:tcBorders>
            <w:vAlign w:val="center"/>
          </w:tcPr>
          <w:p w14:paraId="72CD555C">
            <w:pPr>
              <w:widowControl/>
              <w:spacing w:line="30" w:lineRule="atLeast"/>
              <w:ind w:firstLine="0" w:firstLineChars="0"/>
              <w:jc w:val="center"/>
              <w:rPr>
                <w:rFonts w:ascii="宋体" w:hAnsi="宋体" w:eastAsia="宋体" w:cs="宋体"/>
                <w:sz w:val="21"/>
                <w:szCs w:val="21"/>
              </w:rPr>
            </w:pPr>
            <w:r>
              <w:rPr>
                <w:rFonts w:hint="eastAsia" w:ascii="宋体" w:hAnsi="宋体" w:eastAsia="宋体" w:cs="宋体"/>
                <w:color w:val="333333"/>
                <w:kern w:val="0"/>
                <w:sz w:val="21"/>
                <w:szCs w:val="21"/>
              </w:rPr>
              <w:t>社会公益组织</w:t>
            </w:r>
          </w:p>
        </w:tc>
        <w:tc>
          <w:tcPr>
            <w:tcW w:w="348" w:type="pct"/>
            <w:tcBorders>
              <w:top w:val="single" w:color="auto" w:sz="8" w:space="0"/>
              <w:left w:val="nil"/>
              <w:bottom w:val="single" w:color="auto" w:sz="8" w:space="0"/>
              <w:right w:val="single" w:color="auto" w:sz="8" w:space="0"/>
            </w:tcBorders>
            <w:vAlign w:val="center"/>
          </w:tcPr>
          <w:p w14:paraId="57107DA0">
            <w:pPr>
              <w:widowControl/>
              <w:spacing w:line="30" w:lineRule="atLeast"/>
              <w:ind w:firstLine="0" w:firstLineChars="0"/>
              <w:jc w:val="center"/>
              <w:rPr>
                <w:rFonts w:ascii="宋体" w:hAnsi="宋体" w:eastAsia="宋体" w:cs="宋体"/>
                <w:sz w:val="21"/>
                <w:szCs w:val="21"/>
              </w:rPr>
            </w:pPr>
            <w:r>
              <w:rPr>
                <w:rFonts w:hint="eastAsia" w:ascii="宋体" w:hAnsi="宋体" w:eastAsia="宋体" w:cs="宋体"/>
                <w:color w:val="333333"/>
                <w:kern w:val="0"/>
                <w:sz w:val="21"/>
                <w:szCs w:val="21"/>
              </w:rPr>
              <w:t>法律服务机构</w:t>
            </w:r>
          </w:p>
        </w:tc>
        <w:tc>
          <w:tcPr>
            <w:tcW w:w="361" w:type="pct"/>
            <w:tcBorders>
              <w:top w:val="single" w:color="auto" w:sz="8" w:space="0"/>
              <w:left w:val="nil"/>
              <w:bottom w:val="single" w:color="auto" w:sz="8" w:space="0"/>
              <w:right w:val="single" w:color="auto" w:sz="8" w:space="0"/>
            </w:tcBorders>
            <w:vAlign w:val="center"/>
          </w:tcPr>
          <w:p w14:paraId="0AC693C3">
            <w:pPr>
              <w:widowControl/>
              <w:spacing w:line="30" w:lineRule="atLeast"/>
              <w:ind w:firstLine="0" w:firstLineChars="0"/>
              <w:jc w:val="center"/>
              <w:rPr>
                <w:rFonts w:ascii="宋体" w:hAnsi="宋体" w:eastAsia="宋体" w:cs="宋体"/>
                <w:sz w:val="21"/>
                <w:szCs w:val="21"/>
              </w:rPr>
            </w:pPr>
            <w:r>
              <w:rPr>
                <w:rFonts w:hint="eastAsia" w:ascii="宋体" w:hAnsi="宋体" w:eastAsia="宋体" w:cs="宋体"/>
                <w:color w:val="333333"/>
                <w:kern w:val="0"/>
                <w:sz w:val="21"/>
                <w:szCs w:val="21"/>
              </w:rPr>
              <w:t>其他</w:t>
            </w:r>
          </w:p>
        </w:tc>
        <w:tc>
          <w:tcPr>
            <w:tcW w:w="358" w:type="pct"/>
            <w:vMerge w:val="continue"/>
            <w:tcBorders>
              <w:top w:val="single" w:color="auto" w:sz="8" w:space="0"/>
              <w:left w:val="nil"/>
              <w:right w:val="single" w:color="auto" w:sz="8" w:space="0"/>
            </w:tcBorders>
            <w:vAlign w:val="center"/>
          </w:tcPr>
          <w:p w14:paraId="3B7EE81C">
            <w:pPr>
              <w:spacing w:line="240" w:lineRule="auto"/>
              <w:ind w:firstLine="0" w:firstLineChars="0"/>
              <w:jc w:val="left"/>
              <w:rPr>
                <w:rFonts w:ascii="宋体" w:hAnsi="宋体" w:eastAsia="宋体" w:cs="宋体"/>
                <w:color w:val="333333"/>
                <w:sz w:val="21"/>
                <w:szCs w:val="21"/>
              </w:rPr>
            </w:pPr>
          </w:p>
        </w:tc>
      </w:tr>
      <w:tr w14:paraId="0EBA75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77" w:type="pct"/>
            <w:gridSpan w:val="3"/>
            <w:tcBorders>
              <w:top w:val="nil"/>
              <w:left w:val="single" w:color="auto" w:sz="8" w:space="0"/>
              <w:bottom w:val="single" w:color="auto" w:sz="8" w:space="0"/>
              <w:right w:val="single" w:color="auto" w:sz="8" w:space="0"/>
            </w:tcBorders>
            <w:vAlign w:val="center"/>
          </w:tcPr>
          <w:p w14:paraId="651AFA42">
            <w:pPr>
              <w:widowControl/>
              <w:spacing w:line="30" w:lineRule="atLeast"/>
              <w:ind w:firstLine="0" w:firstLineChars="0"/>
              <w:jc w:val="left"/>
              <w:rPr>
                <w:rFonts w:ascii="宋体" w:hAnsi="宋体" w:eastAsia="宋体" w:cs="宋体"/>
                <w:sz w:val="21"/>
                <w:szCs w:val="21"/>
              </w:rPr>
            </w:pPr>
            <w:r>
              <w:rPr>
                <w:rFonts w:hint="eastAsia" w:ascii="宋体" w:hAnsi="宋体" w:eastAsia="宋体" w:cs="宋体"/>
                <w:color w:val="333333"/>
                <w:kern w:val="0"/>
                <w:sz w:val="21"/>
                <w:szCs w:val="21"/>
              </w:rPr>
              <w:t>一、本年新收政府信息公开申请数量</w:t>
            </w:r>
          </w:p>
        </w:tc>
        <w:tc>
          <w:tcPr>
            <w:tcW w:w="307" w:type="pct"/>
            <w:tcBorders>
              <w:top w:val="nil"/>
              <w:left w:val="nil"/>
              <w:bottom w:val="single" w:color="auto" w:sz="8" w:space="0"/>
              <w:right w:val="single" w:color="auto" w:sz="8" w:space="0"/>
            </w:tcBorders>
            <w:vAlign w:val="center"/>
          </w:tcPr>
          <w:p w14:paraId="7BE58D2B">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52</w:t>
            </w:r>
          </w:p>
        </w:tc>
        <w:tc>
          <w:tcPr>
            <w:tcW w:w="348" w:type="pct"/>
            <w:tcBorders>
              <w:top w:val="nil"/>
              <w:left w:val="nil"/>
              <w:bottom w:val="single" w:color="auto" w:sz="8" w:space="0"/>
              <w:right w:val="single" w:color="auto" w:sz="8" w:space="0"/>
            </w:tcBorders>
            <w:vAlign w:val="center"/>
          </w:tcPr>
          <w:p w14:paraId="6C0751B9">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1</w:t>
            </w:r>
          </w:p>
        </w:tc>
        <w:tc>
          <w:tcPr>
            <w:tcW w:w="348" w:type="pct"/>
            <w:tcBorders>
              <w:top w:val="nil"/>
              <w:left w:val="nil"/>
              <w:bottom w:val="single" w:color="auto" w:sz="8" w:space="0"/>
              <w:right w:val="single" w:color="auto" w:sz="8" w:space="0"/>
            </w:tcBorders>
            <w:vAlign w:val="center"/>
          </w:tcPr>
          <w:p w14:paraId="5445B31C">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01930FFF">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6B9FDC1E">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14:paraId="43DC7631">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14:paraId="4449D8D7">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53</w:t>
            </w:r>
          </w:p>
        </w:tc>
      </w:tr>
      <w:tr w14:paraId="4C1F2D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77" w:type="pct"/>
            <w:gridSpan w:val="3"/>
            <w:tcBorders>
              <w:top w:val="nil"/>
              <w:left w:val="single" w:color="auto" w:sz="8" w:space="0"/>
              <w:bottom w:val="single" w:color="auto" w:sz="8" w:space="0"/>
              <w:right w:val="single" w:color="auto" w:sz="8" w:space="0"/>
            </w:tcBorders>
            <w:vAlign w:val="center"/>
          </w:tcPr>
          <w:p w14:paraId="46C77F37">
            <w:pPr>
              <w:widowControl/>
              <w:spacing w:line="30" w:lineRule="atLeast"/>
              <w:ind w:firstLine="0" w:firstLineChars="0"/>
              <w:jc w:val="left"/>
              <w:rPr>
                <w:rFonts w:ascii="宋体" w:hAnsi="宋体" w:eastAsia="宋体" w:cs="宋体"/>
                <w:sz w:val="21"/>
                <w:szCs w:val="21"/>
              </w:rPr>
            </w:pPr>
            <w:r>
              <w:rPr>
                <w:rFonts w:hint="eastAsia" w:ascii="宋体" w:hAnsi="宋体" w:eastAsia="宋体" w:cs="宋体"/>
                <w:color w:val="333333"/>
                <w:kern w:val="0"/>
                <w:sz w:val="21"/>
                <w:szCs w:val="21"/>
              </w:rPr>
              <w:t>二、上年结转政府信息公开申请数量</w:t>
            </w:r>
          </w:p>
        </w:tc>
        <w:tc>
          <w:tcPr>
            <w:tcW w:w="307" w:type="pct"/>
            <w:tcBorders>
              <w:top w:val="nil"/>
              <w:left w:val="nil"/>
              <w:bottom w:val="single" w:color="auto" w:sz="8" w:space="0"/>
              <w:right w:val="single" w:color="auto" w:sz="8" w:space="0"/>
            </w:tcBorders>
            <w:vAlign w:val="center"/>
          </w:tcPr>
          <w:p w14:paraId="732697CF">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c>
          <w:tcPr>
            <w:tcW w:w="348" w:type="pct"/>
            <w:tcBorders>
              <w:top w:val="nil"/>
              <w:left w:val="nil"/>
              <w:bottom w:val="single" w:color="auto" w:sz="8" w:space="0"/>
              <w:right w:val="single" w:color="auto" w:sz="8" w:space="0"/>
            </w:tcBorders>
            <w:vAlign w:val="center"/>
          </w:tcPr>
          <w:p w14:paraId="5CA5E0E2">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00945295">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327AA81D">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1AB125DD">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14:paraId="2A7B40CB">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14:paraId="079B47B8">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r>
      <w:tr w14:paraId="2A7BBE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restart"/>
            <w:tcBorders>
              <w:top w:val="nil"/>
              <w:left w:val="single" w:color="auto" w:sz="8" w:space="0"/>
              <w:right w:val="single" w:color="auto" w:sz="8" w:space="0"/>
            </w:tcBorders>
            <w:vAlign w:val="center"/>
          </w:tcPr>
          <w:p w14:paraId="22D26979">
            <w:pPr>
              <w:widowControl/>
              <w:spacing w:line="30" w:lineRule="atLeast"/>
              <w:ind w:firstLine="0" w:firstLineChars="0"/>
              <w:jc w:val="left"/>
              <w:rPr>
                <w:rFonts w:ascii="宋体" w:hAnsi="宋体" w:eastAsia="宋体" w:cs="宋体"/>
                <w:sz w:val="21"/>
                <w:szCs w:val="21"/>
              </w:rPr>
            </w:pPr>
            <w:r>
              <w:rPr>
                <w:rFonts w:hint="eastAsia" w:ascii="宋体" w:hAnsi="宋体" w:eastAsia="宋体" w:cs="宋体"/>
                <w:color w:val="333333"/>
                <w:kern w:val="0"/>
                <w:sz w:val="21"/>
                <w:szCs w:val="21"/>
              </w:rPr>
              <w:t>三、本年度办理结果</w:t>
            </w:r>
          </w:p>
        </w:tc>
        <w:tc>
          <w:tcPr>
            <w:tcW w:w="2194" w:type="pct"/>
            <w:gridSpan w:val="2"/>
            <w:tcBorders>
              <w:top w:val="nil"/>
              <w:left w:val="nil"/>
              <w:bottom w:val="single" w:color="auto" w:sz="8" w:space="0"/>
              <w:right w:val="single" w:color="auto" w:sz="8" w:space="0"/>
            </w:tcBorders>
            <w:vAlign w:val="center"/>
          </w:tcPr>
          <w:p w14:paraId="7F19FC78">
            <w:pPr>
              <w:widowControl/>
              <w:spacing w:line="30" w:lineRule="atLeast"/>
              <w:ind w:firstLine="0" w:firstLineChars="0"/>
              <w:jc w:val="left"/>
              <w:rPr>
                <w:rFonts w:ascii="宋体" w:hAnsi="宋体" w:eastAsia="宋体" w:cs="宋体"/>
                <w:sz w:val="21"/>
                <w:szCs w:val="21"/>
              </w:rPr>
            </w:pPr>
            <w:r>
              <w:rPr>
                <w:rFonts w:hint="eastAsia" w:ascii="宋体" w:hAnsi="宋体" w:eastAsia="宋体" w:cs="宋体"/>
                <w:color w:val="333333"/>
                <w:kern w:val="0"/>
                <w:sz w:val="21"/>
                <w:szCs w:val="21"/>
              </w:rPr>
              <w:t>（一）予以公开</w:t>
            </w:r>
          </w:p>
        </w:tc>
        <w:tc>
          <w:tcPr>
            <w:tcW w:w="307" w:type="pct"/>
            <w:tcBorders>
              <w:top w:val="nil"/>
              <w:left w:val="nil"/>
              <w:bottom w:val="single" w:color="auto" w:sz="8" w:space="0"/>
              <w:right w:val="single" w:color="auto" w:sz="8" w:space="0"/>
            </w:tcBorders>
            <w:vAlign w:val="center"/>
          </w:tcPr>
          <w:p w14:paraId="33B4414D">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22</w:t>
            </w:r>
          </w:p>
        </w:tc>
        <w:tc>
          <w:tcPr>
            <w:tcW w:w="348" w:type="pct"/>
            <w:tcBorders>
              <w:top w:val="nil"/>
              <w:left w:val="nil"/>
              <w:bottom w:val="single" w:color="auto" w:sz="8" w:space="0"/>
              <w:right w:val="single" w:color="auto" w:sz="8" w:space="0"/>
            </w:tcBorders>
            <w:vAlign w:val="center"/>
          </w:tcPr>
          <w:p w14:paraId="5BAB2EBD">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1</w:t>
            </w:r>
          </w:p>
        </w:tc>
        <w:tc>
          <w:tcPr>
            <w:tcW w:w="348" w:type="pct"/>
            <w:tcBorders>
              <w:top w:val="nil"/>
              <w:left w:val="nil"/>
              <w:bottom w:val="single" w:color="auto" w:sz="8" w:space="0"/>
              <w:right w:val="single" w:color="auto" w:sz="8" w:space="0"/>
            </w:tcBorders>
            <w:vAlign w:val="center"/>
          </w:tcPr>
          <w:p w14:paraId="4F449A39">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2AFEB9E9">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67F1C256">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14:paraId="298961C7">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single" w:color="auto" w:sz="8" w:space="0"/>
              <w:left w:val="nil"/>
              <w:bottom w:val="single" w:color="auto" w:sz="8" w:space="0"/>
              <w:right w:val="single" w:color="auto" w:sz="8" w:space="0"/>
            </w:tcBorders>
            <w:vAlign w:val="center"/>
          </w:tcPr>
          <w:p w14:paraId="374CBB0A">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23</w:t>
            </w:r>
          </w:p>
        </w:tc>
      </w:tr>
      <w:tr w14:paraId="40F8D0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14:paraId="1F233811">
            <w:pPr>
              <w:spacing w:line="240" w:lineRule="auto"/>
              <w:ind w:firstLine="0" w:firstLineChars="0"/>
              <w:jc w:val="left"/>
              <w:rPr>
                <w:rFonts w:ascii="宋体" w:hAnsi="宋体" w:eastAsia="宋体" w:cs="宋体"/>
                <w:color w:val="333333"/>
                <w:sz w:val="21"/>
                <w:szCs w:val="21"/>
              </w:rPr>
            </w:pPr>
          </w:p>
        </w:tc>
        <w:tc>
          <w:tcPr>
            <w:tcW w:w="2194" w:type="pct"/>
            <w:gridSpan w:val="2"/>
            <w:tcBorders>
              <w:top w:val="nil"/>
              <w:left w:val="nil"/>
              <w:bottom w:val="single" w:color="auto" w:sz="8" w:space="0"/>
              <w:right w:val="single" w:color="auto" w:sz="8" w:space="0"/>
            </w:tcBorders>
            <w:vAlign w:val="center"/>
          </w:tcPr>
          <w:p w14:paraId="36D8CBB4">
            <w:pPr>
              <w:widowControl/>
              <w:spacing w:line="30" w:lineRule="atLeast"/>
              <w:ind w:firstLine="0" w:firstLineChars="0"/>
              <w:jc w:val="left"/>
              <w:rPr>
                <w:rFonts w:ascii="宋体" w:hAnsi="宋体" w:eastAsia="宋体" w:cs="宋体"/>
                <w:sz w:val="21"/>
                <w:szCs w:val="21"/>
              </w:rPr>
            </w:pPr>
            <w:r>
              <w:rPr>
                <w:rFonts w:hint="eastAsia" w:ascii="宋体" w:hAnsi="宋体" w:eastAsia="宋体" w:cs="宋体"/>
                <w:color w:val="333333"/>
                <w:kern w:val="0"/>
                <w:sz w:val="21"/>
                <w:szCs w:val="21"/>
              </w:rPr>
              <w:t>（二）部分公开（区分处理的，只计这一情形，不计其他情形）</w:t>
            </w:r>
          </w:p>
        </w:tc>
        <w:tc>
          <w:tcPr>
            <w:tcW w:w="307" w:type="pct"/>
            <w:tcBorders>
              <w:top w:val="nil"/>
              <w:left w:val="nil"/>
              <w:bottom w:val="single" w:color="auto" w:sz="8" w:space="0"/>
              <w:right w:val="single" w:color="auto" w:sz="8" w:space="0"/>
            </w:tcBorders>
            <w:vAlign w:val="center"/>
          </w:tcPr>
          <w:p w14:paraId="1F752D3E">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2</w:t>
            </w:r>
          </w:p>
        </w:tc>
        <w:tc>
          <w:tcPr>
            <w:tcW w:w="348" w:type="pct"/>
            <w:tcBorders>
              <w:top w:val="nil"/>
              <w:left w:val="nil"/>
              <w:bottom w:val="single" w:color="auto" w:sz="8" w:space="0"/>
              <w:right w:val="single" w:color="auto" w:sz="8" w:space="0"/>
            </w:tcBorders>
            <w:vAlign w:val="center"/>
          </w:tcPr>
          <w:p w14:paraId="7FD18D99">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442F932F">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1C30D35D">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3359EA51">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14:paraId="29CDB827">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14:paraId="4210BACA">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2</w:t>
            </w:r>
          </w:p>
        </w:tc>
      </w:tr>
      <w:tr w14:paraId="08CDF7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14:paraId="76B5E22D">
            <w:pPr>
              <w:spacing w:line="240" w:lineRule="auto"/>
              <w:ind w:firstLine="0" w:firstLineChars="0"/>
              <w:jc w:val="left"/>
              <w:rPr>
                <w:rFonts w:ascii="宋体" w:hAnsi="宋体" w:eastAsia="宋体" w:cs="宋体"/>
                <w:color w:val="333333"/>
                <w:sz w:val="21"/>
                <w:szCs w:val="21"/>
              </w:rPr>
            </w:pPr>
          </w:p>
        </w:tc>
        <w:tc>
          <w:tcPr>
            <w:tcW w:w="469" w:type="pct"/>
            <w:vMerge w:val="restart"/>
            <w:tcBorders>
              <w:top w:val="nil"/>
              <w:left w:val="nil"/>
              <w:right w:val="single" w:color="auto" w:sz="8" w:space="0"/>
            </w:tcBorders>
            <w:vAlign w:val="center"/>
          </w:tcPr>
          <w:p w14:paraId="7C2FF33D">
            <w:pPr>
              <w:widowControl/>
              <w:spacing w:line="30" w:lineRule="atLeast"/>
              <w:ind w:firstLine="0" w:firstLineChars="0"/>
              <w:jc w:val="left"/>
              <w:rPr>
                <w:rFonts w:ascii="宋体" w:hAnsi="宋体" w:eastAsia="宋体" w:cs="宋体"/>
                <w:sz w:val="21"/>
                <w:szCs w:val="21"/>
              </w:rPr>
            </w:pPr>
            <w:r>
              <w:rPr>
                <w:rFonts w:hint="eastAsia" w:ascii="宋体" w:hAnsi="宋体" w:eastAsia="宋体" w:cs="宋体"/>
                <w:color w:val="333333"/>
                <w:kern w:val="0"/>
                <w:sz w:val="21"/>
                <w:szCs w:val="21"/>
              </w:rPr>
              <w:t>（三）不予公开</w:t>
            </w:r>
          </w:p>
        </w:tc>
        <w:tc>
          <w:tcPr>
            <w:tcW w:w="1724" w:type="pct"/>
            <w:tcBorders>
              <w:top w:val="nil"/>
              <w:left w:val="nil"/>
              <w:bottom w:val="single" w:color="auto" w:sz="8" w:space="0"/>
              <w:right w:val="single" w:color="auto" w:sz="8" w:space="0"/>
            </w:tcBorders>
          </w:tcPr>
          <w:p w14:paraId="11BC46C5">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1.</w:t>
            </w:r>
            <w:r>
              <w:rPr>
                <w:rFonts w:hint="eastAsia" w:ascii="宋体" w:hAnsi="宋体" w:eastAsia="宋体" w:cs="宋体"/>
                <w:color w:val="333333"/>
                <w:kern w:val="0"/>
                <w:sz w:val="21"/>
                <w:szCs w:val="21"/>
              </w:rPr>
              <w:t>属于国家秘密</w:t>
            </w:r>
          </w:p>
        </w:tc>
        <w:tc>
          <w:tcPr>
            <w:tcW w:w="307" w:type="pct"/>
            <w:tcBorders>
              <w:top w:val="nil"/>
              <w:left w:val="nil"/>
              <w:bottom w:val="single" w:color="auto" w:sz="8" w:space="0"/>
              <w:right w:val="single" w:color="auto" w:sz="8" w:space="0"/>
            </w:tcBorders>
            <w:vAlign w:val="center"/>
          </w:tcPr>
          <w:p w14:paraId="2631A848">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c>
          <w:tcPr>
            <w:tcW w:w="348" w:type="pct"/>
            <w:tcBorders>
              <w:top w:val="nil"/>
              <w:left w:val="nil"/>
              <w:bottom w:val="single" w:color="auto" w:sz="8" w:space="0"/>
              <w:right w:val="single" w:color="auto" w:sz="8" w:space="0"/>
            </w:tcBorders>
            <w:vAlign w:val="center"/>
          </w:tcPr>
          <w:p w14:paraId="2D10A7A2">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0D6F1D1D">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16458E84">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23A5798E">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14:paraId="3F5A6657">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single" w:color="auto" w:sz="8" w:space="0"/>
              <w:left w:val="nil"/>
              <w:bottom w:val="single" w:color="auto" w:sz="8" w:space="0"/>
              <w:right w:val="single" w:color="auto" w:sz="8" w:space="0"/>
            </w:tcBorders>
            <w:vAlign w:val="center"/>
          </w:tcPr>
          <w:p w14:paraId="3526810F">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r>
      <w:tr w14:paraId="1F5B27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14:paraId="3593D762">
            <w:pPr>
              <w:spacing w:line="240" w:lineRule="auto"/>
              <w:ind w:firstLine="0" w:firstLineChars="0"/>
              <w:jc w:val="left"/>
              <w:rPr>
                <w:rFonts w:ascii="宋体" w:hAnsi="宋体" w:eastAsia="宋体" w:cs="宋体"/>
                <w:color w:val="333333"/>
                <w:sz w:val="21"/>
                <w:szCs w:val="21"/>
              </w:rPr>
            </w:pPr>
          </w:p>
        </w:tc>
        <w:tc>
          <w:tcPr>
            <w:tcW w:w="469" w:type="pct"/>
            <w:vMerge w:val="continue"/>
            <w:tcBorders>
              <w:top w:val="nil"/>
              <w:left w:val="nil"/>
              <w:right w:val="single" w:color="auto" w:sz="8" w:space="0"/>
            </w:tcBorders>
            <w:vAlign w:val="center"/>
          </w:tcPr>
          <w:p w14:paraId="3EEF15A1">
            <w:pPr>
              <w:spacing w:line="240" w:lineRule="auto"/>
              <w:ind w:firstLine="0" w:firstLineChars="0"/>
              <w:jc w:val="left"/>
              <w:rPr>
                <w:rFonts w:ascii="宋体" w:hAnsi="宋体" w:eastAsia="宋体" w:cs="宋体"/>
                <w:color w:val="333333"/>
                <w:sz w:val="21"/>
                <w:szCs w:val="21"/>
              </w:rPr>
            </w:pPr>
          </w:p>
        </w:tc>
        <w:tc>
          <w:tcPr>
            <w:tcW w:w="1724" w:type="pct"/>
            <w:tcBorders>
              <w:top w:val="nil"/>
              <w:left w:val="nil"/>
              <w:bottom w:val="single" w:color="auto" w:sz="8" w:space="0"/>
              <w:right w:val="single" w:color="auto" w:sz="8" w:space="0"/>
            </w:tcBorders>
          </w:tcPr>
          <w:p w14:paraId="556E4C9A">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2.</w:t>
            </w:r>
            <w:r>
              <w:rPr>
                <w:rFonts w:hint="eastAsia" w:ascii="宋体" w:hAnsi="宋体" w:eastAsia="宋体" w:cs="宋体"/>
                <w:color w:val="333333"/>
                <w:kern w:val="0"/>
                <w:sz w:val="21"/>
                <w:szCs w:val="21"/>
              </w:rPr>
              <w:t>其他法律行政法规禁止公开</w:t>
            </w:r>
          </w:p>
        </w:tc>
        <w:tc>
          <w:tcPr>
            <w:tcW w:w="307" w:type="pct"/>
            <w:tcBorders>
              <w:top w:val="nil"/>
              <w:left w:val="nil"/>
              <w:bottom w:val="single" w:color="auto" w:sz="8" w:space="0"/>
              <w:right w:val="single" w:color="auto" w:sz="8" w:space="0"/>
            </w:tcBorders>
            <w:vAlign w:val="center"/>
          </w:tcPr>
          <w:p w14:paraId="155B7076">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c>
          <w:tcPr>
            <w:tcW w:w="348" w:type="pct"/>
            <w:tcBorders>
              <w:top w:val="nil"/>
              <w:left w:val="nil"/>
              <w:bottom w:val="single" w:color="auto" w:sz="8" w:space="0"/>
              <w:right w:val="single" w:color="auto" w:sz="8" w:space="0"/>
            </w:tcBorders>
            <w:vAlign w:val="center"/>
          </w:tcPr>
          <w:p w14:paraId="6010742B">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6EECCB2B">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69B9CCAB">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56AA63DE">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14:paraId="5434BE0B">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14:paraId="7A31C3C2">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r>
      <w:tr w14:paraId="5DEE5A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14:paraId="29003DD3">
            <w:pPr>
              <w:spacing w:line="240" w:lineRule="auto"/>
              <w:ind w:firstLine="0" w:firstLineChars="0"/>
              <w:jc w:val="left"/>
              <w:rPr>
                <w:rFonts w:ascii="宋体" w:hAnsi="宋体" w:eastAsia="宋体" w:cs="宋体"/>
                <w:color w:val="333333"/>
                <w:sz w:val="21"/>
                <w:szCs w:val="21"/>
              </w:rPr>
            </w:pPr>
          </w:p>
        </w:tc>
        <w:tc>
          <w:tcPr>
            <w:tcW w:w="469" w:type="pct"/>
            <w:vMerge w:val="continue"/>
            <w:tcBorders>
              <w:top w:val="nil"/>
              <w:left w:val="nil"/>
              <w:right w:val="single" w:color="auto" w:sz="8" w:space="0"/>
            </w:tcBorders>
            <w:vAlign w:val="center"/>
          </w:tcPr>
          <w:p w14:paraId="66A8CD4D">
            <w:pPr>
              <w:spacing w:line="240" w:lineRule="auto"/>
              <w:ind w:firstLine="0" w:firstLineChars="0"/>
              <w:jc w:val="left"/>
              <w:rPr>
                <w:rFonts w:ascii="宋体" w:hAnsi="宋体" w:eastAsia="宋体" w:cs="宋体"/>
                <w:color w:val="333333"/>
                <w:sz w:val="21"/>
                <w:szCs w:val="21"/>
              </w:rPr>
            </w:pPr>
          </w:p>
        </w:tc>
        <w:tc>
          <w:tcPr>
            <w:tcW w:w="1724" w:type="pct"/>
            <w:tcBorders>
              <w:top w:val="nil"/>
              <w:left w:val="nil"/>
              <w:bottom w:val="single" w:color="auto" w:sz="8" w:space="0"/>
              <w:right w:val="single" w:color="auto" w:sz="8" w:space="0"/>
            </w:tcBorders>
          </w:tcPr>
          <w:p w14:paraId="7B8B70FD">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3.</w:t>
            </w:r>
            <w:r>
              <w:rPr>
                <w:rFonts w:hint="eastAsia" w:ascii="宋体" w:hAnsi="宋体" w:eastAsia="宋体" w:cs="宋体"/>
                <w:color w:val="333333"/>
                <w:kern w:val="0"/>
                <w:sz w:val="21"/>
                <w:szCs w:val="21"/>
              </w:rPr>
              <w:t>危及“三安全一稳定”</w:t>
            </w:r>
          </w:p>
        </w:tc>
        <w:tc>
          <w:tcPr>
            <w:tcW w:w="307" w:type="pct"/>
            <w:tcBorders>
              <w:top w:val="nil"/>
              <w:left w:val="nil"/>
              <w:bottom w:val="single" w:color="auto" w:sz="8" w:space="0"/>
              <w:right w:val="single" w:color="auto" w:sz="8" w:space="0"/>
            </w:tcBorders>
            <w:vAlign w:val="center"/>
          </w:tcPr>
          <w:p w14:paraId="7E6D2072">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c>
          <w:tcPr>
            <w:tcW w:w="348" w:type="pct"/>
            <w:tcBorders>
              <w:top w:val="nil"/>
              <w:left w:val="nil"/>
              <w:bottom w:val="single" w:color="auto" w:sz="8" w:space="0"/>
              <w:right w:val="single" w:color="auto" w:sz="8" w:space="0"/>
            </w:tcBorders>
            <w:vAlign w:val="center"/>
          </w:tcPr>
          <w:p w14:paraId="48AB0834">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37F70CBD">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5A222B93">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5FF81584">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14:paraId="3769F5F4">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14:paraId="3B650C74">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r>
      <w:tr w14:paraId="07AAA2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14:paraId="3E60ED3B">
            <w:pPr>
              <w:spacing w:line="240" w:lineRule="auto"/>
              <w:ind w:firstLine="0" w:firstLineChars="0"/>
              <w:jc w:val="left"/>
              <w:rPr>
                <w:rFonts w:ascii="宋体" w:hAnsi="宋体" w:eastAsia="宋体" w:cs="宋体"/>
                <w:color w:val="333333"/>
                <w:sz w:val="21"/>
                <w:szCs w:val="21"/>
              </w:rPr>
            </w:pPr>
          </w:p>
        </w:tc>
        <w:tc>
          <w:tcPr>
            <w:tcW w:w="469" w:type="pct"/>
            <w:vMerge w:val="continue"/>
            <w:tcBorders>
              <w:top w:val="nil"/>
              <w:left w:val="nil"/>
              <w:right w:val="single" w:color="auto" w:sz="8" w:space="0"/>
            </w:tcBorders>
            <w:vAlign w:val="center"/>
          </w:tcPr>
          <w:p w14:paraId="01788DCE">
            <w:pPr>
              <w:spacing w:line="240" w:lineRule="auto"/>
              <w:ind w:firstLine="0" w:firstLineChars="0"/>
              <w:jc w:val="left"/>
              <w:rPr>
                <w:rFonts w:ascii="宋体" w:hAnsi="宋体" w:eastAsia="宋体" w:cs="宋体"/>
                <w:color w:val="333333"/>
                <w:sz w:val="21"/>
                <w:szCs w:val="21"/>
              </w:rPr>
            </w:pPr>
          </w:p>
        </w:tc>
        <w:tc>
          <w:tcPr>
            <w:tcW w:w="1724" w:type="pct"/>
            <w:tcBorders>
              <w:top w:val="nil"/>
              <w:left w:val="nil"/>
              <w:bottom w:val="single" w:color="auto" w:sz="8" w:space="0"/>
              <w:right w:val="single" w:color="auto" w:sz="8" w:space="0"/>
            </w:tcBorders>
          </w:tcPr>
          <w:p w14:paraId="7ACD1ED8">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4.</w:t>
            </w:r>
            <w:r>
              <w:rPr>
                <w:rFonts w:hint="eastAsia" w:ascii="宋体" w:hAnsi="宋体" w:eastAsia="宋体" w:cs="宋体"/>
                <w:color w:val="333333"/>
                <w:kern w:val="0"/>
                <w:sz w:val="21"/>
                <w:szCs w:val="21"/>
              </w:rPr>
              <w:t>保护第三方合法权益</w:t>
            </w:r>
          </w:p>
        </w:tc>
        <w:tc>
          <w:tcPr>
            <w:tcW w:w="307" w:type="pct"/>
            <w:tcBorders>
              <w:top w:val="nil"/>
              <w:left w:val="nil"/>
              <w:bottom w:val="single" w:color="auto" w:sz="8" w:space="0"/>
              <w:right w:val="single" w:color="auto" w:sz="8" w:space="0"/>
            </w:tcBorders>
            <w:vAlign w:val="center"/>
          </w:tcPr>
          <w:p w14:paraId="35AFDB93">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c>
          <w:tcPr>
            <w:tcW w:w="348" w:type="pct"/>
            <w:tcBorders>
              <w:top w:val="nil"/>
              <w:left w:val="nil"/>
              <w:bottom w:val="single" w:color="auto" w:sz="8" w:space="0"/>
              <w:right w:val="single" w:color="auto" w:sz="8" w:space="0"/>
            </w:tcBorders>
            <w:vAlign w:val="center"/>
          </w:tcPr>
          <w:p w14:paraId="48BE51CB">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206E9E47">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5A5868A9">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7C0D1D83">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14:paraId="34A8B3C3">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14:paraId="69C3CD2D">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r>
      <w:tr w14:paraId="49F760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14:paraId="1FF70375">
            <w:pPr>
              <w:spacing w:line="240" w:lineRule="auto"/>
              <w:ind w:firstLine="0" w:firstLineChars="0"/>
              <w:jc w:val="left"/>
              <w:rPr>
                <w:rFonts w:ascii="宋体" w:hAnsi="宋体" w:eastAsia="宋体" w:cs="宋体"/>
                <w:color w:val="333333"/>
                <w:sz w:val="21"/>
                <w:szCs w:val="21"/>
              </w:rPr>
            </w:pPr>
          </w:p>
        </w:tc>
        <w:tc>
          <w:tcPr>
            <w:tcW w:w="469" w:type="pct"/>
            <w:vMerge w:val="continue"/>
            <w:tcBorders>
              <w:top w:val="nil"/>
              <w:left w:val="nil"/>
              <w:right w:val="single" w:color="auto" w:sz="8" w:space="0"/>
            </w:tcBorders>
            <w:vAlign w:val="center"/>
          </w:tcPr>
          <w:p w14:paraId="7A645530">
            <w:pPr>
              <w:spacing w:line="240" w:lineRule="auto"/>
              <w:ind w:firstLine="0" w:firstLineChars="0"/>
              <w:jc w:val="left"/>
              <w:rPr>
                <w:rFonts w:ascii="宋体" w:hAnsi="宋体" w:eastAsia="宋体" w:cs="宋体"/>
                <w:color w:val="333333"/>
                <w:sz w:val="21"/>
                <w:szCs w:val="21"/>
              </w:rPr>
            </w:pPr>
          </w:p>
        </w:tc>
        <w:tc>
          <w:tcPr>
            <w:tcW w:w="1724" w:type="pct"/>
            <w:tcBorders>
              <w:top w:val="nil"/>
              <w:left w:val="nil"/>
              <w:bottom w:val="single" w:color="auto" w:sz="8" w:space="0"/>
              <w:right w:val="single" w:color="auto" w:sz="8" w:space="0"/>
            </w:tcBorders>
          </w:tcPr>
          <w:p w14:paraId="2B8A0C2C">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5.</w:t>
            </w:r>
            <w:r>
              <w:rPr>
                <w:rFonts w:hint="eastAsia" w:ascii="宋体" w:hAnsi="宋体" w:eastAsia="宋体" w:cs="宋体"/>
                <w:color w:val="333333"/>
                <w:kern w:val="0"/>
                <w:sz w:val="21"/>
                <w:szCs w:val="21"/>
              </w:rPr>
              <w:t>属于三类内部事务信息</w:t>
            </w:r>
          </w:p>
        </w:tc>
        <w:tc>
          <w:tcPr>
            <w:tcW w:w="307" w:type="pct"/>
            <w:tcBorders>
              <w:top w:val="nil"/>
              <w:left w:val="nil"/>
              <w:bottom w:val="single" w:color="auto" w:sz="8" w:space="0"/>
              <w:right w:val="single" w:color="auto" w:sz="8" w:space="0"/>
            </w:tcBorders>
            <w:vAlign w:val="center"/>
          </w:tcPr>
          <w:p w14:paraId="4127300C">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3</w:t>
            </w:r>
          </w:p>
        </w:tc>
        <w:tc>
          <w:tcPr>
            <w:tcW w:w="348" w:type="pct"/>
            <w:tcBorders>
              <w:top w:val="nil"/>
              <w:left w:val="nil"/>
              <w:bottom w:val="single" w:color="auto" w:sz="8" w:space="0"/>
              <w:right w:val="single" w:color="auto" w:sz="8" w:space="0"/>
            </w:tcBorders>
            <w:vAlign w:val="center"/>
          </w:tcPr>
          <w:p w14:paraId="0BF43532">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4EC717AD">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0695FE24">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32EA2490">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14:paraId="5DA7A6F7">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14:paraId="475301C8">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3</w:t>
            </w:r>
          </w:p>
        </w:tc>
      </w:tr>
      <w:tr w14:paraId="775A1B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14:paraId="2F33BE72">
            <w:pPr>
              <w:spacing w:line="240" w:lineRule="auto"/>
              <w:ind w:firstLine="0" w:firstLineChars="0"/>
              <w:jc w:val="left"/>
              <w:rPr>
                <w:rFonts w:ascii="宋体" w:hAnsi="宋体" w:eastAsia="宋体" w:cs="宋体"/>
                <w:color w:val="333333"/>
                <w:sz w:val="21"/>
                <w:szCs w:val="21"/>
              </w:rPr>
            </w:pPr>
          </w:p>
        </w:tc>
        <w:tc>
          <w:tcPr>
            <w:tcW w:w="469" w:type="pct"/>
            <w:vMerge w:val="continue"/>
            <w:tcBorders>
              <w:top w:val="nil"/>
              <w:left w:val="nil"/>
              <w:right w:val="single" w:color="auto" w:sz="8" w:space="0"/>
            </w:tcBorders>
            <w:vAlign w:val="center"/>
          </w:tcPr>
          <w:p w14:paraId="0BA38415">
            <w:pPr>
              <w:spacing w:line="240" w:lineRule="auto"/>
              <w:ind w:firstLine="0" w:firstLineChars="0"/>
              <w:jc w:val="left"/>
              <w:rPr>
                <w:rFonts w:ascii="宋体" w:hAnsi="宋体" w:eastAsia="宋体" w:cs="宋体"/>
                <w:color w:val="333333"/>
                <w:sz w:val="21"/>
                <w:szCs w:val="21"/>
              </w:rPr>
            </w:pPr>
          </w:p>
        </w:tc>
        <w:tc>
          <w:tcPr>
            <w:tcW w:w="1724" w:type="pct"/>
            <w:tcBorders>
              <w:top w:val="nil"/>
              <w:left w:val="nil"/>
              <w:bottom w:val="single" w:color="auto" w:sz="8" w:space="0"/>
              <w:right w:val="single" w:color="auto" w:sz="8" w:space="0"/>
            </w:tcBorders>
          </w:tcPr>
          <w:p w14:paraId="52E46D96">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6.</w:t>
            </w:r>
            <w:r>
              <w:rPr>
                <w:rFonts w:hint="eastAsia" w:ascii="宋体" w:hAnsi="宋体" w:eastAsia="宋体" w:cs="宋体"/>
                <w:color w:val="333333"/>
                <w:kern w:val="0"/>
                <w:sz w:val="21"/>
                <w:szCs w:val="21"/>
              </w:rPr>
              <w:t>属于四类过程性信息</w:t>
            </w:r>
          </w:p>
        </w:tc>
        <w:tc>
          <w:tcPr>
            <w:tcW w:w="307" w:type="pct"/>
            <w:tcBorders>
              <w:top w:val="nil"/>
              <w:left w:val="nil"/>
              <w:bottom w:val="single" w:color="auto" w:sz="8" w:space="0"/>
              <w:right w:val="single" w:color="auto" w:sz="8" w:space="0"/>
            </w:tcBorders>
            <w:vAlign w:val="center"/>
          </w:tcPr>
          <w:p w14:paraId="75E1A985">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1</w:t>
            </w:r>
          </w:p>
        </w:tc>
        <w:tc>
          <w:tcPr>
            <w:tcW w:w="348" w:type="pct"/>
            <w:tcBorders>
              <w:top w:val="nil"/>
              <w:left w:val="nil"/>
              <w:bottom w:val="single" w:color="auto" w:sz="8" w:space="0"/>
              <w:right w:val="single" w:color="auto" w:sz="8" w:space="0"/>
            </w:tcBorders>
            <w:vAlign w:val="center"/>
          </w:tcPr>
          <w:p w14:paraId="3D15AD29">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6CC89069">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402D1A38">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381F96F2">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14:paraId="54E17798">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14:paraId="3E8C9165">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1</w:t>
            </w:r>
          </w:p>
        </w:tc>
      </w:tr>
      <w:tr w14:paraId="3F2B42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14:paraId="580175DA">
            <w:pPr>
              <w:spacing w:line="240" w:lineRule="auto"/>
              <w:ind w:firstLine="0" w:firstLineChars="0"/>
              <w:jc w:val="left"/>
              <w:rPr>
                <w:rFonts w:ascii="宋体" w:hAnsi="宋体" w:eastAsia="宋体" w:cs="宋体"/>
                <w:color w:val="333333"/>
                <w:sz w:val="21"/>
                <w:szCs w:val="21"/>
              </w:rPr>
            </w:pPr>
          </w:p>
        </w:tc>
        <w:tc>
          <w:tcPr>
            <w:tcW w:w="469" w:type="pct"/>
            <w:vMerge w:val="continue"/>
            <w:tcBorders>
              <w:top w:val="nil"/>
              <w:left w:val="nil"/>
              <w:right w:val="single" w:color="auto" w:sz="8" w:space="0"/>
            </w:tcBorders>
            <w:vAlign w:val="center"/>
          </w:tcPr>
          <w:p w14:paraId="279602FD">
            <w:pPr>
              <w:spacing w:line="240" w:lineRule="auto"/>
              <w:ind w:firstLine="0" w:firstLineChars="0"/>
              <w:jc w:val="left"/>
              <w:rPr>
                <w:rFonts w:ascii="宋体" w:hAnsi="宋体" w:eastAsia="宋体" w:cs="宋体"/>
                <w:color w:val="333333"/>
                <w:sz w:val="21"/>
                <w:szCs w:val="21"/>
              </w:rPr>
            </w:pPr>
          </w:p>
        </w:tc>
        <w:tc>
          <w:tcPr>
            <w:tcW w:w="1724" w:type="pct"/>
            <w:tcBorders>
              <w:top w:val="nil"/>
              <w:left w:val="nil"/>
              <w:bottom w:val="single" w:color="auto" w:sz="8" w:space="0"/>
              <w:right w:val="single" w:color="auto" w:sz="8" w:space="0"/>
            </w:tcBorders>
          </w:tcPr>
          <w:p w14:paraId="1F4E8A38">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7.</w:t>
            </w:r>
            <w:r>
              <w:rPr>
                <w:rFonts w:hint="eastAsia" w:ascii="宋体" w:hAnsi="宋体" w:eastAsia="宋体" w:cs="宋体"/>
                <w:color w:val="333333"/>
                <w:kern w:val="0"/>
                <w:sz w:val="21"/>
                <w:szCs w:val="21"/>
              </w:rPr>
              <w:t>属于行政执法案卷</w:t>
            </w:r>
          </w:p>
        </w:tc>
        <w:tc>
          <w:tcPr>
            <w:tcW w:w="307" w:type="pct"/>
            <w:tcBorders>
              <w:top w:val="nil"/>
              <w:left w:val="nil"/>
              <w:bottom w:val="single" w:color="auto" w:sz="8" w:space="0"/>
              <w:right w:val="single" w:color="auto" w:sz="8" w:space="0"/>
            </w:tcBorders>
            <w:vAlign w:val="center"/>
          </w:tcPr>
          <w:p w14:paraId="793C16F1">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3</w:t>
            </w:r>
          </w:p>
        </w:tc>
        <w:tc>
          <w:tcPr>
            <w:tcW w:w="348" w:type="pct"/>
            <w:tcBorders>
              <w:top w:val="nil"/>
              <w:left w:val="nil"/>
              <w:bottom w:val="single" w:color="auto" w:sz="8" w:space="0"/>
              <w:right w:val="single" w:color="auto" w:sz="8" w:space="0"/>
            </w:tcBorders>
            <w:vAlign w:val="center"/>
          </w:tcPr>
          <w:p w14:paraId="23E0AACD">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40D9912C">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56BCE9E0">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69D54CA5">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14:paraId="03241FF3">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14:paraId="0085F7E0">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3</w:t>
            </w:r>
          </w:p>
        </w:tc>
      </w:tr>
      <w:tr w14:paraId="479C85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14:paraId="1EE8E3CD">
            <w:pPr>
              <w:spacing w:line="240" w:lineRule="auto"/>
              <w:ind w:firstLine="0" w:firstLineChars="0"/>
              <w:jc w:val="left"/>
              <w:rPr>
                <w:rFonts w:ascii="宋体" w:hAnsi="宋体" w:eastAsia="宋体" w:cs="宋体"/>
                <w:color w:val="333333"/>
                <w:sz w:val="21"/>
                <w:szCs w:val="21"/>
              </w:rPr>
            </w:pPr>
          </w:p>
        </w:tc>
        <w:tc>
          <w:tcPr>
            <w:tcW w:w="469" w:type="pct"/>
            <w:vMerge w:val="continue"/>
            <w:tcBorders>
              <w:top w:val="nil"/>
              <w:left w:val="nil"/>
              <w:right w:val="single" w:color="auto" w:sz="8" w:space="0"/>
            </w:tcBorders>
            <w:vAlign w:val="center"/>
          </w:tcPr>
          <w:p w14:paraId="59395FA9">
            <w:pPr>
              <w:spacing w:line="240" w:lineRule="auto"/>
              <w:ind w:firstLine="0" w:firstLineChars="0"/>
              <w:jc w:val="left"/>
              <w:rPr>
                <w:rFonts w:ascii="宋体" w:hAnsi="宋体" w:eastAsia="宋体" w:cs="宋体"/>
                <w:color w:val="333333"/>
                <w:sz w:val="21"/>
                <w:szCs w:val="21"/>
              </w:rPr>
            </w:pPr>
          </w:p>
        </w:tc>
        <w:tc>
          <w:tcPr>
            <w:tcW w:w="1724" w:type="pct"/>
            <w:tcBorders>
              <w:top w:val="nil"/>
              <w:left w:val="nil"/>
              <w:bottom w:val="single" w:color="auto" w:sz="8" w:space="0"/>
              <w:right w:val="single" w:color="auto" w:sz="8" w:space="0"/>
            </w:tcBorders>
          </w:tcPr>
          <w:p w14:paraId="189E62ED">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8.</w:t>
            </w:r>
            <w:r>
              <w:rPr>
                <w:rFonts w:hint="eastAsia" w:ascii="宋体" w:hAnsi="宋体" w:eastAsia="宋体" w:cs="宋体"/>
                <w:color w:val="333333"/>
                <w:kern w:val="0"/>
                <w:sz w:val="21"/>
                <w:szCs w:val="21"/>
              </w:rPr>
              <w:t>属于行政查询事项</w:t>
            </w:r>
          </w:p>
        </w:tc>
        <w:tc>
          <w:tcPr>
            <w:tcW w:w="307" w:type="pct"/>
            <w:tcBorders>
              <w:top w:val="nil"/>
              <w:left w:val="nil"/>
              <w:bottom w:val="single" w:color="auto" w:sz="8" w:space="0"/>
              <w:right w:val="single" w:color="auto" w:sz="8" w:space="0"/>
            </w:tcBorders>
            <w:vAlign w:val="center"/>
          </w:tcPr>
          <w:p w14:paraId="2036921A">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c>
          <w:tcPr>
            <w:tcW w:w="348" w:type="pct"/>
            <w:tcBorders>
              <w:top w:val="nil"/>
              <w:left w:val="nil"/>
              <w:bottom w:val="single" w:color="auto" w:sz="8" w:space="0"/>
              <w:right w:val="single" w:color="auto" w:sz="8" w:space="0"/>
            </w:tcBorders>
            <w:vAlign w:val="center"/>
          </w:tcPr>
          <w:p w14:paraId="43731235">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58178D55">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654B8F57">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15AD2409">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14:paraId="4B998C01">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14:paraId="1ED7FA04">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r>
      <w:tr w14:paraId="5CA6C4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14:paraId="6F8827A8">
            <w:pPr>
              <w:spacing w:line="240" w:lineRule="auto"/>
              <w:ind w:firstLine="0" w:firstLineChars="0"/>
              <w:jc w:val="left"/>
              <w:rPr>
                <w:rFonts w:ascii="宋体" w:hAnsi="宋体" w:eastAsia="宋体" w:cs="宋体"/>
                <w:color w:val="333333"/>
                <w:sz w:val="21"/>
                <w:szCs w:val="21"/>
              </w:rPr>
            </w:pPr>
          </w:p>
        </w:tc>
        <w:tc>
          <w:tcPr>
            <w:tcW w:w="469" w:type="pct"/>
            <w:vMerge w:val="restart"/>
            <w:tcBorders>
              <w:top w:val="nil"/>
              <w:left w:val="nil"/>
              <w:right w:val="single" w:color="auto" w:sz="8" w:space="0"/>
            </w:tcBorders>
            <w:vAlign w:val="center"/>
          </w:tcPr>
          <w:p w14:paraId="44E2514C">
            <w:pPr>
              <w:widowControl/>
              <w:spacing w:line="30" w:lineRule="atLeast"/>
              <w:ind w:firstLine="0" w:firstLineChars="0"/>
              <w:jc w:val="left"/>
              <w:rPr>
                <w:rFonts w:ascii="宋体" w:hAnsi="宋体" w:eastAsia="宋体" w:cs="宋体"/>
                <w:sz w:val="21"/>
                <w:szCs w:val="21"/>
              </w:rPr>
            </w:pPr>
            <w:r>
              <w:rPr>
                <w:rFonts w:hint="eastAsia" w:ascii="宋体" w:hAnsi="宋体" w:eastAsia="宋体" w:cs="宋体"/>
                <w:color w:val="333333"/>
                <w:kern w:val="0"/>
                <w:sz w:val="21"/>
                <w:szCs w:val="21"/>
              </w:rPr>
              <w:t>（四）无法提供</w:t>
            </w:r>
          </w:p>
        </w:tc>
        <w:tc>
          <w:tcPr>
            <w:tcW w:w="1724" w:type="pct"/>
            <w:tcBorders>
              <w:top w:val="nil"/>
              <w:left w:val="nil"/>
              <w:bottom w:val="single" w:color="auto" w:sz="8" w:space="0"/>
              <w:right w:val="single" w:color="auto" w:sz="8" w:space="0"/>
            </w:tcBorders>
          </w:tcPr>
          <w:p w14:paraId="01556D22">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1.</w:t>
            </w:r>
            <w:r>
              <w:rPr>
                <w:rFonts w:hint="eastAsia" w:ascii="宋体" w:hAnsi="宋体" w:eastAsia="宋体" w:cs="宋体"/>
                <w:color w:val="333333"/>
                <w:kern w:val="0"/>
                <w:sz w:val="21"/>
                <w:szCs w:val="21"/>
              </w:rPr>
              <w:t>本机关不掌握相关政府信息</w:t>
            </w:r>
          </w:p>
        </w:tc>
        <w:tc>
          <w:tcPr>
            <w:tcW w:w="307" w:type="pct"/>
            <w:tcBorders>
              <w:top w:val="nil"/>
              <w:left w:val="nil"/>
              <w:bottom w:val="single" w:color="auto" w:sz="8" w:space="0"/>
              <w:right w:val="single" w:color="auto" w:sz="8" w:space="0"/>
            </w:tcBorders>
            <w:vAlign w:val="center"/>
          </w:tcPr>
          <w:p w14:paraId="0F33AF93">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5</w:t>
            </w:r>
          </w:p>
        </w:tc>
        <w:tc>
          <w:tcPr>
            <w:tcW w:w="348" w:type="pct"/>
            <w:tcBorders>
              <w:top w:val="nil"/>
              <w:left w:val="nil"/>
              <w:bottom w:val="single" w:color="auto" w:sz="8" w:space="0"/>
              <w:right w:val="single" w:color="auto" w:sz="8" w:space="0"/>
            </w:tcBorders>
            <w:vAlign w:val="center"/>
          </w:tcPr>
          <w:p w14:paraId="08160AA1">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2CEEBE4C">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31C10F85">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38C55EAE">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14:paraId="7D921547">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14:paraId="384968F3">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5</w:t>
            </w:r>
          </w:p>
        </w:tc>
      </w:tr>
      <w:tr w14:paraId="1817B3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14:paraId="0C24FE3F">
            <w:pPr>
              <w:spacing w:line="240" w:lineRule="auto"/>
              <w:ind w:firstLine="0" w:firstLineChars="0"/>
              <w:jc w:val="left"/>
              <w:rPr>
                <w:rFonts w:ascii="宋体" w:hAnsi="宋体" w:eastAsia="宋体" w:cs="宋体"/>
                <w:color w:val="333333"/>
                <w:sz w:val="21"/>
                <w:szCs w:val="21"/>
              </w:rPr>
            </w:pPr>
          </w:p>
        </w:tc>
        <w:tc>
          <w:tcPr>
            <w:tcW w:w="469" w:type="pct"/>
            <w:vMerge w:val="continue"/>
            <w:tcBorders>
              <w:top w:val="nil"/>
              <w:left w:val="nil"/>
              <w:right w:val="single" w:color="auto" w:sz="8" w:space="0"/>
            </w:tcBorders>
            <w:vAlign w:val="center"/>
          </w:tcPr>
          <w:p w14:paraId="23454659">
            <w:pPr>
              <w:spacing w:line="240" w:lineRule="auto"/>
              <w:ind w:firstLine="0" w:firstLineChars="0"/>
              <w:jc w:val="left"/>
              <w:rPr>
                <w:rFonts w:ascii="宋体" w:hAnsi="宋体" w:eastAsia="宋体" w:cs="宋体"/>
                <w:color w:val="333333"/>
                <w:sz w:val="21"/>
                <w:szCs w:val="21"/>
              </w:rPr>
            </w:pPr>
          </w:p>
        </w:tc>
        <w:tc>
          <w:tcPr>
            <w:tcW w:w="1724" w:type="pct"/>
            <w:tcBorders>
              <w:top w:val="nil"/>
              <w:left w:val="nil"/>
              <w:bottom w:val="single" w:color="auto" w:sz="8" w:space="0"/>
              <w:right w:val="single" w:color="auto" w:sz="8" w:space="0"/>
            </w:tcBorders>
          </w:tcPr>
          <w:p w14:paraId="20AB20FC">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2.</w:t>
            </w:r>
            <w:r>
              <w:rPr>
                <w:rFonts w:hint="eastAsia" w:ascii="宋体" w:hAnsi="宋体" w:eastAsia="宋体" w:cs="宋体"/>
                <w:color w:val="333333"/>
                <w:kern w:val="0"/>
                <w:sz w:val="21"/>
                <w:szCs w:val="21"/>
              </w:rPr>
              <w:t>没有现成信息需要另行制作</w:t>
            </w:r>
          </w:p>
        </w:tc>
        <w:tc>
          <w:tcPr>
            <w:tcW w:w="307" w:type="pct"/>
            <w:tcBorders>
              <w:top w:val="nil"/>
              <w:left w:val="nil"/>
              <w:bottom w:val="single" w:color="auto" w:sz="8" w:space="0"/>
              <w:right w:val="single" w:color="auto" w:sz="8" w:space="0"/>
            </w:tcBorders>
            <w:vAlign w:val="center"/>
          </w:tcPr>
          <w:p w14:paraId="7E964F09">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5</w:t>
            </w:r>
          </w:p>
        </w:tc>
        <w:tc>
          <w:tcPr>
            <w:tcW w:w="348" w:type="pct"/>
            <w:tcBorders>
              <w:top w:val="nil"/>
              <w:left w:val="nil"/>
              <w:bottom w:val="single" w:color="auto" w:sz="8" w:space="0"/>
              <w:right w:val="single" w:color="auto" w:sz="8" w:space="0"/>
            </w:tcBorders>
            <w:vAlign w:val="center"/>
          </w:tcPr>
          <w:p w14:paraId="3BC1D036">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6032AB3B">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4D9FEB6A">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459392DF">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14:paraId="1C31EEB9">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14:paraId="1405B9E0">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5</w:t>
            </w:r>
          </w:p>
        </w:tc>
      </w:tr>
      <w:tr w14:paraId="41CF0F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14:paraId="701915A4">
            <w:pPr>
              <w:spacing w:line="240" w:lineRule="auto"/>
              <w:ind w:firstLine="0" w:firstLineChars="0"/>
              <w:jc w:val="left"/>
              <w:rPr>
                <w:rFonts w:ascii="宋体" w:hAnsi="宋体" w:eastAsia="宋体" w:cs="宋体"/>
                <w:color w:val="333333"/>
                <w:sz w:val="21"/>
                <w:szCs w:val="21"/>
              </w:rPr>
            </w:pPr>
          </w:p>
        </w:tc>
        <w:tc>
          <w:tcPr>
            <w:tcW w:w="469" w:type="pct"/>
            <w:vMerge w:val="continue"/>
            <w:tcBorders>
              <w:top w:val="nil"/>
              <w:left w:val="nil"/>
              <w:right w:val="single" w:color="auto" w:sz="8" w:space="0"/>
            </w:tcBorders>
            <w:vAlign w:val="center"/>
          </w:tcPr>
          <w:p w14:paraId="428B285E">
            <w:pPr>
              <w:spacing w:line="240" w:lineRule="auto"/>
              <w:ind w:firstLine="0" w:firstLineChars="0"/>
              <w:jc w:val="left"/>
              <w:rPr>
                <w:rFonts w:ascii="宋体" w:hAnsi="宋体" w:eastAsia="宋体" w:cs="宋体"/>
                <w:color w:val="333333"/>
                <w:sz w:val="21"/>
                <w:szCs w:val="21"/>
              </w:rPr>
            </w:pPr>
          </w:p>
        </w:tc>
        <w:tc>
          <w:tcPr>
            <w:tcW w:w="1724" w:type="pct"/>
            <w:tcBorders>
              <w:top w:val="nil"/>
              <w:left w:val="nil"/>
              <w:bottom w:val="single" w:color="auto" w:sz="8" w:space="0"/>
              <w:right w:val="single" w:color="auto" w:sz="8" w:space="0"/>
            </w:tcBorders>
          </w:tcPr>
          <w:p w14:paraId="6E976657">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3.</w:t>
            </w:r>
            <w:r>
              <w:rPr>
                <w:rFonts w:hint="eastAsia" w:ascii="宋体" w:hAnsi="宋体" w:eastAsia="宋体" w:cs="宋体"/>
                <w:color w:val="333333"/>
                <w:kern w:val="0"/>
                <w:sz w:val="21"/>
                <w:szCs w:val="21"/>
              </w:rPr>
              <w:t>补正后申请内容仍不明确</w:t>
            </w:r>
          </w:p>
        </w:tc>
        <w:tc>
          <w:tcPr>
            <w:tcW w:w="307" w:type="pct"/>
            <w:tcBorders>
              <w:top w:val="nil"/>
              <w:left w:val="nil"/>
              <w:bottom w:val="single" w:color="auto" w:sz="8" w:space="0"/>
              <w:right w:val="single" w:color="auto" w:sz="8" w:space="0"/>
            </w:tcBorders>
            <w:vAlign w:val="center"/>
          </w:tcPr>
          <w:p w14:paraId="15D2165D">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c>
          <w:tcPr>
            <w:tcW w:w="348" w:type="pct"/>
            <w:tcBorders>
              <w:top w:val="nil"/>
              <w:left w:val="nil"/>
              <w:bottom w:val="single" w:color="auto" w:sz="8" w:space="0"/>
              <w:right w:val="single" w:color="auto" w:sz="8" w:space="0"/>
            </w:tcBorders>
            <w:vAlign w:val="center"/>
          </w:tcPr>
          <w:p w14:paraId="6553ED77">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02AF753E">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52CF3AE2">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64EB2BC0">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14:paraId="1A428055">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14:paraId="7AF4F9D9">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r>
      <w:tr w14:paraId="5CBF77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14:paraId="75E44FC2">
            <w:pPr>
              <w:spacing w:line="240" w:lineRule="auto"/>
              <w:ind w:firstLine="0" w:firstLineChars="0"/>
              <w:jc w:val="left"/>
              <w:rPr>
                <w:rFonts w:ascii="宋体" w:hAnsi="宋体" w:eastAsia="宋体" w:cs="宋体"/>
                <w:color w:val="333333"/>
                <w:sz w:val="21"/>
                <w:szCs w:val="21"/>
              </w:rPr>
            </w:pPr>
          </w:p>
        </w:tc>
        <w:tc>
          <w:tcPr>
            <w:tcW w:w="469" w:type="pct"/>
            <w:vMerge w:val="restart"/>
            <w:tcBorders>
              <w:top w:val="nil"/>
              <w:left w:val="nil"/>
              <w:right w:val="single" w:color="auto" w:sz="8" w:space="0"/>
            </w:tcBorders>
            <w:vAlign w:val="center"/>
          </w:tcPr>
          <w:p w14:paraId="3F176D4D">
            <w:pPr>
              <w:widowControl/>
              <w:spacing w:line="30" w:lineRule="atLeast"/>
              <w:ind w:firstLine="0" w:firstLineChars="0"/>
              <w:jc w:val="left"/>
              <w:rPr>
                <w:rFonts w:ascii="宋体" w:hAnsi="宋体" w:eastAsia="宋体" w:cs="宋体"/>
                <w:sz w:val="21"/>
                <w:szCs w:val="21"/>
              </w:rPr>
            </w:pPr>
            <w:r>
              <w:rPr>
                <w:rFonts w:hint="eastAsia" w:ascii="宋体" w:hAnsi="宋体" w:eastAsia="宋体" w:cs="宋体"/>
                <w:color w:val="333333"/>
                <w:kern w:val="0"/>
                <w:sz w:val="21"/>
                <w:szCs w:val="21"/>
              </w:rPr>
              <w:t>（五）不予处理</w:t>
            </w:r>
          </w:p>
        </w:tc>
        <w:tc>
          <w:tcPr>
            <w:tcW w:w="1724" w:type="pct"/>
            <w:tcBorders>
              <w:top w:val="nil"/>
              <w:left w:val="nil"/>
              <w:bottom w:val="single" w:color="auto" w:sz="8" w:space="0"/>
              <w:right w:val="single" w:color="auto" w:sz="8" w:space="0"/>
            </w:tcBorders>
          </w:tcPr>
          <w:p w14:paraId="3B44A6B1">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1.</w:t>
            </w:r>
            <w:r>
              <w:rPr>
                <w:rFonts w:hint="eastAsia" w:ascii="宋体" w:hAnsi="宋体" w:eastAsia="宋体" w:cs="宋体"/>
                <w:color w:val="333333"/>
                <w:kern w:val="0"/>
                <w:sz w:val="21"/>
                <w:szCs w:val="21"/>
              </w:rPr>
              <w:t>信访举报投诉类申请</w:t>
            </w:r>
          </w:p>
        </w:tc>
        <w:tc>
          <w:tcPr>
            <w:tcW w:w="307" w:type="pct"/>
            <w:tcBorders>
              <w:top w:val="nil"/>
              <w:left w:val="nil"/>
              <w:bottom w:val="single" w:color="auto" w:sz="8" w:space="0"/>
              <w:right w:val="single" w:color="auto" w:sz="8" w:space="0"/>
            </w:tcBorders>
            <w:vAlign w:val="center"/>
          </w:tcPr>
          <w:p w14:paraId="6DCFD8E7">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c>
          <w:tcPr>
            <w:tcW w:w="348" w:type="pct"/>
            <w:tcBorders>
              <w:top w:val="nil"/>
              <w:left w:val="nil"/>
              <w:bottom w:val="single" w:color="auto" w:sz="8" w:space="0"/>
              <w:right w:val="single" w:color="auto" w:sz="8" w:space="0"/>
            </w:tcBorders>
            <w:vAlign w:val="center"/>
          </w:tcPr>
          <w:p w14:paraId="6EE009E6">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27C6094D">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50FCC022">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662D63B7">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14:paraId="3EBE9216">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14:paraId="6B56B211">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r>
      <w:tr w14:paraId="68BB58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14:paraId="4CBE9533">
            <w:pPr>
              <w:spacing w:line="240" w:lineRule="auto"/>
              <w:ind w:firstLine="0" w:firstLineChars="0"/>
              <w:jc w:val="left"/>
              <w:rPr>
                <w:rFonts w:ascii="宋体" w:hAnsi="宋体" w:eastAsia="宋体" w:cs="宋体"/>
                <w:color w:val="333333"/>
                <w:sz w:val="21"/>
                <w:szCs w:val="21"/>
              </w:rPr>
            </w:pPr>
          </w:p>
        </w:tc>
        <w:tc>
          <w:tcPr>
            <w:tcW w:w="469" w:type="pct"/>
            <w:vMerge w:val="continue"/>
            <w:tcBorders>
              <w:top w:val="nil"/>
              <w:left w:val="nil"/>
              <w:right w:val="single" w:color="auto" w:sz="8" w:space="0"/>
            </w:tcBorders>
            <w:vAlign w:val="center"/>
          </w:tcPr>
          <w:p w14:paraId="2802ED30">
            <w:pPr>
              <w:spacing w:line="240" w:lineRule="auto"/>
              <w:ind w:firstLine="0" w:firstLineChars="0"/>
              <w:jc w:val="left"/>
              <w:rPr>
                <w:rFonts w:ascii="宋体" w:hAnsi="宋体" w:eastAsia="宋体" w:cs="宋体"/>
                <w:color w:val="333333"/>
                <w:sz w:val="21"/>
                <w:szCs w:val="21"/>
              </w:rPr>
            </w:pPr>
          </w:p>
        </w:tc>
        <w:tc>
          <w:tcPr>
            <w:tcW w:w="1724" w:type="pct"/>
            <w:tcBorders>
              <w:top w:val="single" w:color="auto" w:sz="8" w:space="0"/>
              <w:left w:val="nil"/>
              <w:bottom w:val="single" w:color="auto" w:sz="8" w:space="0"/>
              <w:right w:val="single" w:color="auto" w:sz="8" w:space="0"/>
            </w:tcBorders>
          </w:tcPr>
          <w:p w14:paraId="5578F03A">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2.</w:t>
            </w:r>
            <w:r>
              <w:rPr>
                <w:rFonts w:hint="eastAsia" w:ascii="宋体" w:hAnsi="宋体" w:eastAsia="宋体" w:cs="宋体"/>
                <w:color w:val="333333"/>
                <w:kern w:val="0"/>
                <w:sz w:val="21"/>
                <w:szCs w:val="21"/>
              </w:rPr>
              <w:t>重复申请</w:t>
            </w:r>
          </w:p>
        </w:tc>
        <w:tc>
          <w:tcPr>
            <w:tcW w:w="307" w:type="pct"/>
            <w:tcBorders>
              <w:top w:val="single" w:color="auto" w:sz="8" w:space="0"/>
              <w:left w:val="nil"/>
              <w:bottom w:val="single" w:color="auto" w:sz="8" w:space="0"/>
              <w:right w:val="single" w:color="auto" w:sz="8" w:space="0"/>
            </w:tcBorders>
            <w:vAlign w:val="center"/>
          </w:tcPr>
          <w:p w14:paraId="58858752">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1</w:t>
            </w:r>
          </w:p>
        </w:tc>
        <w:tc>
          <w:tcPr>
            <w:tcW w:w="348" w:type="pct"/>
            <w:tcBorders>
              <w:top w:val="single" w:color="auto" w:sz="8" w:space="0"/>
              <w:left w:val="nil"/>
              <w:bottom w:val="single" w:color="auto" w:sz="8" w:space="0"/>
              <w:right w:val="single" w:color="auto" w:sz="8" w:space="0"/>
            </w:tcBorders>
            <w:vAlign w:val="center"/>
          </w:tcPr>
          <w:p w14:paraId="143B7126">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single" w:color="auto" w:sz="8" w:space="0"/>
              <w:left w:val="nil"/>
              <w:bottom w:val="single" w:color="auto" w:sz="8" w:space="0"/>
              <w:right w:val="single" w:color="auto" w:sz="8" w:space="0"/>
            </w:tcBorders>
            <w:vAlign w:val="center"/>
          </w:tcPr>
          <w:p w14:paraId="336CB3B1">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single" w:color="auto" w:sz="8" w:space="0"/>
              <w:left w:val="nil"/>
              <w:bottom w:val="single" w:color="auto" w:sz="8" w:space="0"/>
              <w:right w:val="single" w:color="auto" w:sz="8" w:space="0"/>
            </w:tcBorders>
            <w:vAlign w:val="center"/>
          </w:tcPr>
          <w:p w14:paraId="4B38F5D4">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single" w:color="auto" w:sz="8" w:space="0"/>
              <w:left w:val="nil"/>
              <w:bottom w:val="single" w:color="auto" w:sz="8" w:space="0"/>
              <w:right w:val="single" w:color="auto" w:sz="8" w:space="0"/>
            </w:tcBorders>
            <w:vAlign w:val="center"/>
          </w:tcPr>
          <w:p w14:paraId="6D19ACD7">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single" w:color="auto" w:sz="8" w:space="0"/>
              <w:left w:val="nil"/>
              <w:bottom w:val="single" w:color="auto" w:sz="8" w:space="0"/>
              <w:right w:val="single" w:color="auto" w:sz="8" w:space="0"/>
            </w:tcBorders>
            <w:vAlign w:val="center"/>
          </w:tcPr>
          <w:p w14:paraId="65FFD119">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single" w:color="auto" w:sz="8" w:space="0"/>
              <w:left w:val="nil"/>
              <w:bottom w:val="single" w:color="auto" w:sz="8" w:space="0"/>
              <w:right w:val="single" w:color="auto" w:sz="8" w:space="0"/>
            </w:tcBorders>
            <w:vAlign w:val="center"/>
          </w:tcPr>
          <w:p w14:paraId="60ADF208">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1</w:t>
            </w:r>
          </w:p>
        </w:tc>
      </w:tr>
      <w:tr w14:paraId="6D6AD1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14:paraId="32872B88">
            <w:pPr>
              <w:spacing w:line="240" w:lineRule="auto"/>
              <w:ind w:firstLine="0" w:firstLineChars="0"/>
              <w:jc w:val="left"/>
              <w:rPr>
                <w:rFonts w:ascii="宋体" w:hAnsi="宋体" w:eastAsia="宋体" w:cs="宋体"/>
                <w:color w:val="333333"/>
                <w:sz w:val="21"/>
                <w:szCs w:val="21"/>
              </w:rPr>
            </w:pPr>
          </w:p>
        </w:tc>
        <w:tc>
          <w:tcPr>
            <w:tcW w:w="469" w:type="pct"/>
            <w:vMerge w:val="continue"/>
            <w:tcBorders>
              <w:top w:val="nil"/>
              <w:left w:val="nil"/>
              <w:right w:val="single" w:color="auto" w:sz="8" w:space="0"/>
            </w:tcBorders>
            <w:vAlign w:val="center"/>
          </w:tcPr>
          <w:p w14:paraId="545265D7">
            <w:pPr>
              <w:spacing w:line="240" w:lineRule="auto"/>
              <w:ind w:firstLine="0" w:firstLineChars="0"/>
              <w:jc w:val="left"/>
              <w:rPr>
                <w:rFonts w:ascii="宋体" w:hAnsi="宋体" w:eastAsia="宋体" w:cs="宋体"/>
                <w:color w:val="333333"/>
                <w:sz w:val="21"/>
                <w:szCs w:val="21"/>
              </w:rPr>
            </w:pPr>
          </w:p>
        </w:tc>
        <w:tc>
          <w:tcPr>
            <w:tcW w:w="1724" w:type="pct"/>
            <w:tcBorders>
              <w:top w:val="single" w:color="auto" w:sz="8" w:space="0"/>
              <w:left w:val="nil"/>
              <w:bottom w:val="single" w:color="auto" w:sz="8" w:space="0"/>
              <w:right w:val="single" w:color="auto" w:sz="8" w:space="0"/>
            </w:tcBorders>
          </w:tcPr>
          <w:p w14:paraId="783F19B8">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3.</w:t>
            </w:r>
            <w:r>
              <w:rPr>
                <w:rFonts w:hint="eastAsia" w:ascii="宋体" w:hAnsi="宋体" w:eastAsia="宋体" w:cs="宋体"/>
                <w:color w:val="333333"/>
                <w:kern w:val="0"/>
                <w:sz w:val="21"/>
                <w:szCs w:val="21"/>
              </w:rPr>
              <w:t>要求提供公开出版物</w:t>
            </w:r>
          </w:p>
        </w:tc>
        <w:tc>
          <w:tcPr>
            <w:tcW w:w="307" w:type="pct"/>
            <w:tcBorders>
              <w:top w:val="single" w:color="auto" w:sz="8" w:space="0"/>
              <w:left w:val="nil"/>
              <w:bottom w:val="single" w:color="auto" w:sz="8" w:space="0"/>
              <w:right w:val="single" w:color="auto" w:sz="8" w:space="0"/>
            </w:tcBorders>
            <w:vAlign w:val="center"/>
          </w:tcPr>
          <w:p w14:paraId="3591AB2A">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c>
          <w:tcPr>
            <w:tcW w:w="348" w:type="pct"/>
            <w:tcBorders>
              <w:top w:val="single" w:color="auto" w:sz="8" w:space="0"/>
              <w:left w:val="nil"/>
              <w:bottom w:val="single" w:color="auto" w:sz="8" w:space="0"/>
              <w:right w:val="single" w:color="auto" w:sz="8" w:space="0"/>
            </w:tcBorders>
            <w:vAlign w:val="center"/>
          </w:tcPr>
          <w:p w14:paraId="57C46878">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single" w:color="auto" w:sz="8" w:space="0"/>
              <w:left w:val="nil"/>
              <w:bottom w:val="single" w:color="auto" w:sz="8" w:space="0"/>
              <w:right w:val="single" w:color="auto" w:sz="8" w:space="0"/>
            </w:tcBorders>
            <w:vAlign w:val="center"/>
          </w:tcPr>
          <w:p w14:paraId="33B10B84">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single" w:color="auto" w:sz="8" w:space="0"/>
              <w:left w:val="nil"/>
              <w:bottom w:val="single" w:color="auto" w:sz="8" w:space="0"/>
              <w:right w:val="single" w:color="auto" w:sz="8" w:space="0"/>
            </w:tcBorders>
            <w:vAlign w:val="center"/>
          </w:tcPr>
          <w:p w14:paraId="4E058245">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single" w:color="auto" w:sz="8" w:space="0"/>
              <w:left w:val="nil"/>
              <w:bottom w:val="single" w:color="auto" w:sz="8" w:space="0"/>
              <w:right w:val="single" w:color="auto" w:sz="8" w:space="0"/>
            </w:tcBorders>
            <w:vAlign w:val="center"/>
          </w:tcPr>
          <w:p w14:paraId="4FAEDC77">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single" w:color="auto" w:sz="8" w:space="0"/>
              <w:left w:val="nil"/>
              <w:bottom w:val="single" w:color="auto" w:sz="8" w:space="0"/>
              <w:right w:val="single" w:color="auto" w:sz="8" w:space="0"/>
            </w:tcBorders>
            <w:vAlign w:val="center"/>
          </w:tcPr>
          <w:p w14:paraId="5BD20939">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single" w:color="auto" w:sz="8" w:space="0"/>
              <w:left w:val="nil"/>
              <w:bottom w:val="single" w:color="auto" w:sz="8" w:space="0"/>
              <w:right w:val="single" w:color="auto" w:sz="8" w:space="0"/>
            </w:tcBorders>
            <w:vAlign w:val="center"/>
          </w:tcPr>
          <w:p w14:paraId="7D7455C4">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r>
      <w:tr w14:paraId="234E9C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14:paraId="5F93F92C">
            <w:pPr>
              <w:spacing w:line="240" w:lineRule="auto"/>
              <w:ind w:firstLine="0" w:firstLineChars="0"/>
              <w:jc w:val="left"/>
              <w:rPr>
                <w:rFonts w:ascii="宋体" w:hAnsi="宋体" w:eastAsia="宋体" w:cs="宋体"/>
                <w:color w:val="333333"/>
                <w:sz w:val="21"/>
                <w:szCs w:val="21"/>
              </w:rPr>
            </w:pPr>
          </w:p>
        </w:tc>
        <w:tc>
          <w:tcPr>
            <w:tcW w:w="469" w:type="pct"/>
            <w:vMerge w:val="continue"/>
            <w:tcBorders>
              <w:top w:val="nil"/>
              <w:left w:val="nil"/>
              <w:right w:val="single" w:color="auto" w:sz="8" w:space="0"/>
            </w:tcBorders>
            <w:vAlign w:val="center"/>
          </w:tcPr>
          <w:p w14:paraId="6146AF76">
            <w:pPr>
              <w:spacing w:line="240" w:lineRule="auto"/>
              <w:ind w:firstLine="0" w:firstLineChars="0"/>
              <w:jc w:val="left"/>
              <w:rPr>
                <w:rFonts w:ascii="宋体" w:hAnsi="宋体" w:eastAsia="宋体" w:cs="宋体"/>
                <w:color w:val="333333"/>
                <w:sz w:val="21"/>
                <w:szCs w:val="21"/>
              </w:rPr>
            </w:pPr>
          </w:p>
        </w:tc>
        <w:tc>
          <w:tcPr>
            <w:tcW w:w="1724" w:type="pct"/>
            <w:tcBorders>
              <w:top w:val="single" w:color="auto" w:sz="8" w:space="0"/>
              <w:left w:val="nil"/>
              <w:bottom w:val="single" w:color="auto" w:sz="8" w:space="0"/>
              <w:right w:val="single" w:color="auto" w:sz="8" w:space="0"/>
            </w:tcBorders>
          </w:tcPr>
          <w:p w14:paraId="1D662223">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4.</w:t>
            </w:r>
            <w:r>
              <w:rPr>
                <w:rFonts w:hint="eastAsia" w:ascii="宋体" w:hAnsi="宋体" w:eastAsia="宋体" w:cs="宋体"/>
                <w:color w:val="333333"/>
                <w:kern w:val="0"/>
                <w:sz w:val="21"/>
                <w:szCs w:val="21"/>
              </w:rPr>
              <w:t>无正当理由大量反复申请</w:t>
            </w:r>
          </w:p>
        </w:tc>
        <w:tc>
          <w:tcPr>
            <w:tcW w:w="307" w:type="pct"/>
            <w:tcBorders>
              <w:top w:val="single" w:color="auto" w:sz="8" w:space="0"/>
              <w:left w:val="nil"/>
              <w:bottom w:val="single" w:color="auto" w:sz="8" w:space="0"/>
              <w:right w:val="single" w:color="auto" w:sz="8" w:space="0"/>
            </w:tcBorders>
            <w:vAlign w:val="center"/>
          </w:tcPr>
          <w:p w14:paraId="31B3EE0F">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c>
          <w:tcPr>
            <w:tcW w:w="348" w:type="pct"/>
            <w:tcBorders>
              <w:top w:val="single" w:color="auto" w:sz="8" w:space="0"/>
              <w:left w:val="nil"/>
              <w:bottom w:val="single" w:color="auto" w:sz="8" w:space="0"/>
              <w:right w:val="single" w:color="auto" w:sz="8" w:space="0"/>
            </w:tcBorders>
            <w:vAlign w:val="center"/>
          </w:tcPr>
          <w:p w14:paraId="23E7A811">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single" w:color="auto" w:sz="8" w:space="0"/>
              <w:left w:val="nil"/>
              <w:bottom w:val="single" w:color="auto" w:sz="8" w:space="0"/>
              <w:right w:val="single" w:color="auto" w:sz="8" w:space="0"/>
            </w:tcBorders>
            <w:vAlign w:val="center"/>
          </w:tcPr>
          <w:p w14:paraId="65B153C7">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single" w:color="auto" w:sz="8" w:space="0"/>
              <w:left w:val="nil"/>
              <w:bottom w:val="single" w:color="auto" w:sz="8" w:space="0"/>
              <w:right w:val="single" w:color="auto" w:sz="8" w:space="0"/>
            </w:tcBorders>
            <w:vAlign w:val="center"/>
          </w:tcPr>
          <w:p w14:paraId="305E893C">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single" w:color="auto" w:sz="8" w:space="0"/>
              <w:left w:val="nil"/>
              <w:bottom w:val="single" w:color="auto" w:sz="8" w:space="0"/>
              <w:right w:val="single" w:color="auto" w:sz="8" w:space="0"/>
            </w:tcBorders>
            <w:vAlign w:val="center"/>
          </w:tcPr>
          <w:p w14:paraId="7B505FEF">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single" w:color="auto" w:sz="8" w:space="0"/>
              <w:left w:val="nil"/>
              <w:bottom w:val="single" w:color="auto" w:sz="8" w:space="0"/>
              <w:right w:val="single" w:color="auto" w:sz="8" w:space="0"/>
            </w:tcBorders>
            <w:vAlign w:val="center"/>
          </w:tcPr>
          <w:p w14:paraId="12CEA557">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single" w:color="auto" w:sz="8" w:space="0"/>
              <w:left w:val="nil"/>
              <w:bottom w:val="single" w:color="auto" w:sz="8" w:space="0"/>
              <w:right w:val="single" w:color="auto" w:sz="8" w:space="0"/>
            </w:tcBorders>
            <w:vAlign w:val="center"/>
          </w:tcPr>
          <w:p w14:paraId="2ED7531E">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r>
      <w:tr w14:paraId="39650A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382" w:type="pct"/>
            <w:vMerge w:val="continue"/>
            <w:tcBorders>
              <w:top w:val="nil"/>
              <w:left w:val="single" w:color="auto" w:sz="8" w:space="0"/>
              <w:right w:val="single" w:color="auto" w:sz="8" w:space="0"/>
            </w:tcBorders>
            <w:vAlign w:val="center"/>
          </w:tcPr>
          <w:p w14:paraId="6E5F24D5">
            <w:pPr>
              <w:spacing w:line="240" w:lineRule="auto"/>
              <w:ind w:firstLine="0" w:firstLineChars="0"/>
              <w:jc w:val="left"/>
              <w:rPr>
                <w:rFonts w:ascii="宋体" w:hAnsi="宋体" w:eastAsia="宋体" w:cs="宋体"/>
                <w:color w:val="333333"/>
                <w:sz w:val="21"/>
                <w:szCs w:val="21"/>
              </w:rPr>
            </w:pPr>
          </w:p>
        </w:tc>
        <w:tc>
          <w:tcPr>
            <w:tcW w:w="469" w:type="pct"/>
            <w:vMerge w:val="continue"/>
            <w:tcBorders>
              <w:top w:val="nil"/>
              <w:left w:val="nil"/>
              <w:right w:val="single" w:color="auto" w:sz="8" w:space="0"/>
            </w:tcBorders>
            <w:vAlign w:val="center"/>
          </w:tcPr>
          <w:p w14:paraId="4EF4D5CE">
            <w:pPr>
              <w:spacing w:line="240" w:lineRule="auto"/>
              <w:ind w:firstLine="0" w:firstLineChars="0"/>
              <w:jc w:val="left"/>
              <w:rPr>
                <w:rFonts w:ascii="宋体" w:hAnsi="宋体" w:eastAsia="宋体" w:cs="宋体"/>
                <w:color w:val="333333"/>
                <w:sz w:val="21"/>
                <w:szCs w:val="21"/>
              </w:rPr>
            </w:pPr>
          </w:p>
        </w:tc>
        <w:tc>
          <w:tcPr>
            <w:tcW w:w="1724" w:type="pct"/>
            <w:tcBorders>
              <w:top w:val="nil"/>
              <w:left w:val="nil"/>
              <w:right w:val="single" w:color="auto" w:sz="8" w:space="0"/>
            </w:tcBorders>
            <w:vAlign w:val="center"/>
          </w:tcPr>
          <w:p w14:paraId="3FA1D3A1">
            <w:pPr>
              <w:widowControl/>
              <w:spacing w:line="30" w:lineRule="atLeast"/>
              <w:ind w:firstLine="0" w:firstLineChars="0"/>
              <w:rPr>
                <w:rFonts w:ascii="宋体" w:hAnsi="宋体" w:eastAsia="宋体" w:cs="宋体"/>
                <w:sz w:val="21"/>
                <w:szCs w:val="21"/>
              </w:rPr>
            </w:pPr>
            <w:r>
              <w:rPr>
                <w:rFonts w:ascii="宋体" w:hAnsi="宋体" w:eastAsia="宋体" w:cs="宋体"/>
                <w:color w:val="333333"/>
                <w:kern w:val="0"/>
                <w:sz w:val="21"/>
                <w:szCs w:val="21"/>
              </w:rPr>
              <w:t>5.</w:t>
            </w:r>
            <w:r>
              <w:rPr>
                <w:rFonts w:hint="eastAsia" w:ascii="宋体" w:hAnsi="宋体" w:eastAsia="宋体" w:cs="宋体"/>
                <w:color w:val="333333"/>
                <w:kern w:val="0"/>
                <w:sz w:val="21"/>
                <w:szCs w:val="21"/>
              </w:rPr>
              <w:t>要求行政机关确认或重新出具已获取信息</w:t>
            </w:r>
          </w:p>
        </w:tc>
        <w:tc>
          <w:tcPr>
            <w:tcW w:w="307" w:type="pct"/>
            <w:tcBorders>
              <w:top w:val="nil"/>
              <w:left w:val="nil"/>
              <w:right w:val="single" w:color="auto" w:sz="8" w:space="0"/>
            </w:tcBorders>
            <w:vAlign w:val="center"/>
          </w:tcPr>
          <w:p w14:paraId="6E17ECC0">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c>
          <w:tcPr>
            <w:tcW w:w="348" w:type="pct"/>
            <w:tcBorders>
              <w:top w:val="nil"/>
              <w:left w:val="nil"/>
              <w:right w:val="single" w:color="auto" w:sz="8" w:space="0"/>
            </w:tcBorders>
            <w:vAlign w:val="center"/>
          </w:tcPr>
          <w:p w14:paraId="49819AEC">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right w:val="single" w:color="auto" w:sz="8" w:space="0"/>
            </w:tcBorders>
            <w:vAlign w:val="center"/>
          </w:tcPr>
          <w:p w14:paraId="1BC5BB8D">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right w:val="single" w:color="auto" w:sz="8" w:space="0"/>
            </w:tcBorders>
            <w:vAlign w:val="center"/>
          </w:tcPr>
          <w:p w14:paraId="4785D4E4">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right w:val="single" w:color="auto" w:sz="8" w:space="0"/>
            </w:tcBorders>
            <w:vAlign w:val="center"/>
          </w:tcPr>
          <w:p w14:paraId="1E4DC5DD">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right w:val="single" w:color="auto" w:sz="8" w:space="0"/>
            </w:tcBorders>
            <w:vAlign w:val="center"/>
          </w:tcPr>
          <w:p w14:paraId="6E059252">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right w:val="single" w:color="auto" w:sz="8" w:space="0"/>
            </w:tcBorders>
            <w:vAlign w:val="center"/>
          </w:tcPr>
          <w:p w14:paraId="42CF5F1B">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r>
      <w:tr w14:paraId="1F11E3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14:paraId="3F886970">
            <w:pPr>
              <w:spacing w:line="240" w:lineRule="auto"/>
              <w:ind w:firstLine="0" w:firstLineChars="0"/>
              <w:jc w:val="left"/>
              <w:rPr>
                <w:rFonts w:ascii="宋体" w:hAnsi="宋体" w:eastAsia="宋体" w:cs="宋体"/>
                <w:color w:val="333333"/>
                <w:sz w:val="21"/>
                <w:szCs w:val="21"/>
              </w:rPr>
            </w:pPr>
          </w:p>
        </w:tc>
        <w:tc>
          <w:tcPr>
            <w:tcW w:w="469" w:type="pct"/>
            <w:vMerge w:val="restart"/>
            <w:tcBorders>
              <w:left w:val="nil"/>
              <w:right w:val="single" w:color="auto" w:sz="8" w:space="0"/>
            </w:tcBorders>
            <w:vAlign w:val="center"/>
          </w:tcPr>
          <w:p w14:paraId="66AD8B6A">
            <w:pPr>
              <w:widowControl/>
              <w:spacing w:line="30" w:lineRule="atLeast"/>
              <w:ind w:firstLine="0" w:firstLineChars="0"/>
              <w:jc w:val="left"/>
              <w:rPr>
                <w:rFonts w:ascii="宋体" w:hAnsi="宋体" w:eastAsia="宋体" w:cs="宋体"/>
                <w:sz w:val="21"/>
                <w:szCs w:val="21"/>
              </w:rPr>
            </w:pPr>
            <w:r>
              <w:rPr>
                <w:rFonts w:hint="eastAsia" w:ascii="宋体" w:hAnsi="宋体" w:eastAsia="宋体" w:cs="宋体"/>
                <w:color w:val="333333"/>
                <w:kern w:val="0"/>
                <w:sz w:val="21"/>
                <w:szCs w:val="21"/>
              </w:rPr>
              <w:t>（六）其他处理</w:t>
            </w:r>
          </w:p>
        </w:tc>
        <w:tc>
          <w:tcPr>
            <w:tcW w:w="1724" w:type="pct"/>
            <w:tcBorders>
              <w:top w:val="nil"/>
              <w:left w:val="nil"/>
              <w:bottom w:val="single" w:color="auto" w:sz="8" w:space="0"/>
              <w:right w:val="single" w:color="auto" w:sz="8" w:space="0"/>
            </w:tcBorders>
            <w:vAlign w:val="center"/>
          </w:tcPr>
          <w:p w14:paraId="4233DAC9">
            <w:pPr>
              <w:widowControl/>
              <w:spacing w:line="30" w:lineRule="atLeast"/>
              <w:ind w:firstLine="0" w:firstLineChars="0"/>
              <w:rPr>
                <w:rFonts w:ascii="宋体" w:hAnsi="宋体" w:eastAsia="宋体" w:cs="宋体"/>
                <w:sz w:val="21"/>
                <w:szCs w:val="21"/>
              </w:rPr>
            </w:pPr>
            <w:r>
              <w:rPr>
                <w:rFonts w:ascii="宋体" w:hAnsi="宋体" w:eastAsia="宋体" w:cs="宋体"/>
                <w:color w:val="333333"/>
                <w:kern w:val="0"/>
                <w:sz w:val="21"/>
                <w:szCs w:val="21"/>
              </w:rPr>
              <w:t>1.</w:t>
            </w:r>
            <w:r>
              <w:rPr>
                <w:rFonts w:hint="eastAsia" w:ascii="宋体" w:hAnsi="宋体" w:eastAsia="宋体" w:cs="宋体"/>
                <w:color w:val="333333"/>
                <w:kern w:val="0"/>
                <w:sz w:val="21"/>
                <w:szCs w:val="21"/>
              </w:rPr>
              <w:t>申请人无正当理由逾期不补正、行政机关不再处理其政府信息公开申请</w:t>
            </w:r>
          </w:p>
        </w:tc>
        <w:tc>
          <w:tcPr>
            <w:tcW w:w="307" w:type="pct"/>
            <w:tcBorders>
              <w:top w:val="nil"/>
              <w:left w:val="nil"/>
              <w:bottom w:val="single" w:color="auto" w:sz="8" w:space="0"/>
              <w:right w:val="single" w:color="auto" w:sz="8" w:space="0"/>
            </w:tcBorders>
            <w:vAlign w:val="center"/>
          </w:tcPr>
          <w:p w14:paraId="634FE862">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c>
          <w:tcPr>
            <w:tcW w:w="348" w:type="pct"/>
            <w:tcBorders>
              <w:top w:val="nil"/>
              <w:left w:val="nil"/>
              <w:bottom w:val="single" w:color="auto" w:sz="8" w:space="0"/>
              <w:right w:val="single" w:color="auto" w:sz="8" w:space="0"/>
            </w:tcBorders>
            <w:vAlign w:val="center"/>
          </w:tcPr>
          <w:p w14:paraId="18E31080">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7327C051">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4CBC0CF1">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5C711AC3">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14:paraId="2F5459D7">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14:paraId="1396F74F">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r>
      <w:tr w14:paraId="529955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14:paraId="42670D83">
            <w:pPr>
              <w:spacing w:line="240" w:lineRule="auto"/>
              <w:ind w:firstLine="0" w:firstLineChars="0"/>
              <w:jc w:val="left"/>
              <w:rPr>
                <w:rFonts w:ascii="宋体" w:hAnsi="宋体" w:eastAsia="宋体" w:cs="宋体"/>
                <w:color w:val="333333"/>
                <w:sz w:val="21"/>
                <w:szCs w:val="21"/>
              </w:rPr>
            </w:pPr>
          </w:p>
        </w:tc>
        <w:tc>
          <w:tcPr>
            <w:tcW w:w="469" w:type="pct"/>
            <w:vMerge w:val="continue"/>
            <w:tcBorders>
              <w:left w:val="nil"/>
              <w:right w:val="single" w:color="auto" w:sz="8" w:space="0"/>
            </w:tcBorders>
            <w:vAlign w:val="center"/>
          </w:tcPr>
          <w:p w14:paraId="619CF859">
            <w:pPr>
              <w:spacing w:line="240" w:lineRule="auto"/>
              <w:ind w:firstLine="0" w:firstLineChars="0"/>
              <w:jc w:val="left"/>
              <w:rPr>
                <w:rFonts w:ascii="宋体" w:hAnsi="宋体" w:eastAsia="宋体" w:cs="宋体"/>
                <w:color w:val="333333"/>
                <w:sz w:val="21"/>
                <w:szCs w:val="21"/>
              </w:rPr>
            </w:pPr>
          </w:p>
        </w:tc>
        <w:tc>
          <w:tcPr>
            <w:tcW w:w="1724" w:type="pct"/>
            <w:tcBorders>
              <w:top w:val="nil"/>
              <w:left w:val="nil"/>
              <w:bottom w:val="single" w:color="auto" w:sz="8" w:space="0"/>
              <w:right w:val="single" w:color="auto" w:sz="8" w:space="0"/>
            </w:tcBorders>
            <w:vAlign w:val="center"/>
          </w:tcPr>
          <w:p w14:paraId="02A4F52C">
            <w:pPr>
              <w:widowControl/>
              <w:spacing w:line="30" w:lineRule="atLeast"/>
              <w:ind w:firstLine="0" w:firstLineChars="0"/>
              <w:rPr>
                <w:rFonts w:ascii="宋体" w:hAnsi="宋体" w:eastAsia="宋体" w:cs="宋体"/>
                <w:sz w:val="21"/>
                <w:szCs w:val="21"/>
              </w:rPr>
            </w:pPr>
            <w:r>
              <w:rPr>
                <w:rFonts w:ascii="宋体" w:hAnsi="宋体" w:eastAsia="宋体" w:cs="宋体"/>
                <w:color w:val="333333"/>
                <w:kern w:val="0"/>
                <w:sz w:val="21"/>
                <w:szCs w:val="21"/>
              </w:rPr>
              <w:t>2.</w:t>
            </w:r>
            <w:r>
              <w:rPr>
                <w:rFonts w:hint="eastAsia" w:ascii="宋体" w:hAnsi="宋体" w:eastAsia="宋体" w:cs="宋体"/>
                <w:color w:val="333333"/>
                <w:kern w:val="0"/>
                <w:sz w:val="21"/>
                <w:szCs w:val="21"/>
              </w:rPr>
              <w:t>申请人逾期未按收费通知要求缴纳费用、行政机关不再处理其政府信息公开申请</w:t>
            </w:r>
          </w:p>
        </w:tc>
        <w:tc>
          <w:tcPr>
            <w:tcW w:w="307" w:type="pct"/>
            <w:tcBorders>
              <w:top w:val="nil"/>
              <w:left w:val="nil"/>
              <w:bottom w:val="single" w:color="auto" w:sz="8" w:space="0"/>
              <w:right w:val="single" w:color="auto" w:sz="8" w:space="0"/>
            </w:tcBorders>
            <w:vAlign w:val="center"/>
          </w:tcPr>
          <w:p w14:paraId="7BFA37C4">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c>
          <w:tcPr>
            <w:tcW w:w="348" w:type="pct"/>
            <w:tcBorders>
              <w:top w:val="nil"/>
              <w:left w:val="nil"/>
              <w:bottom w:val="single" w:color="auto" w:sz="8" w:space="0"/>
              <w:right w:val="single" w:color="auto" w:sz="8" w:space="0"/>
            </w:tcBorders>
            <w:vAlign w:val="center"/>
          </w:tcPr>
          <w:p w14:paraId="103C3645">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4C661E26">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34A052D8">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266ADED6">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14:paraId="6F300045">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14:paraId="37DA824F">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r>
      <w:tr w14:paraId="32BDF1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14:paraId="7E89395D">
            <w:pPr>
              <w:spacing w:line="240" w:lineRule="auto"/>
              <w:ind w:firstLine="0" w:firstLineChars="0"/>
              <w:jc w:val="left"/>
              <w:rPr>
                <w:rFonts w:ascii="宋体" w:hAnsi="宋体" w:eastAsia="宋体" w:cs="宋体"/>
                <w:color w:val="333333"/>
                <w:sz w:val="21"/>
                <w:szCs w:val="21"/>
              </w:rPr>
            </w:pPr>
          </w:p>
        </w:tc>
        <w:tc>
          <w:tcPr>
            <w:tcW w:w="469" w:type="pct"/>
            <w:vMerge w:val="continue"/>
            <w:tcBorders>
              <w:left w:val="nil"/>
              <w:right w:val="single" w:color="auto" w:sz="8" w:space="0"/>
            </w:tcBorders>
            <w:vAlign w:val="center"/>
          </w:tcPr>
          <w:p w14:paraId="1561FCD0">
            <w:pPr>
              <w:spacing w:line="240" w:lineRule="auto"/>
              <w:ind w:firstLine="0" w:firstLineChars="0"/>
              <w:jc w:val="left"/>
              <w:rPr>
                <w:rFonts w:ascii="宋体" w:hAnsi="宋体" w:eastAsia="宋体" w:cs="宋体"/>
                <w:color w:val="333333"/>
                <w:sz w:val="21"/>
                <w:szCs w:val="21"/>
              </w:rPr>
            </w:pPr>
          </w:p>
        </w:tc>
        <w:tc>
          <w:tcPr>
            <w:tcW w:w="1724" w:type="pct"/>
            <w:tcBorders>
              <w:top w:val="nil"/>
              <w:left w:val="nil"/>
              <w:bottom w:val="single" w:color="auto" w:sz="8" w:space="0"/>
              <w:right w:val="single" w:color="auto" w:sz="8" w:space="0"/>
            </w:tcBorders>
            <w:vAlign w:val="center"/>
          </w:tcPr>
          <w:p w14:paraId="79984ED0">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3.</w:t>
            </w:r>
            <w:r>
              <w:rPr>
                <w:rFonts w:hint="eastAsia" w:ascii="宋体" w:hAnsi="宋体" w:eastAsia="宋体" w:cs="宋体"/>
                <w:color w:val="333333"/>
                <w:kern w:val="0"/>
                <w:sz w:val="21"/>
                <w:szCs w:val="21"/>
              </w:rPr>
              <w:t>其他</w:t>
            </w:r>
          </w:p>
        </w:tc>
        <w:tc>
          <w:tcPr>
            <w:tcW w:w="307" w:type="pct"/>
            <w:tcBorders>
              <w:top w:val="nil"/>
              <w:left w:val="nil"/>
              <w:bottom w:val="single" w:color="auto" w:sz="8" w:space="0"/>
              <w:right w:val="single" w:color="auto" w:sz="8" w:space="0"/>
            </w:tcBorders>
            <w:vAlign w:val="center"/>
          </w:tcPr>
          <w:p w14:paraId="7892C203">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3</w:t>
            </w:r>
          </w:p>
        </w:tc>
        <w:tc>
          <w:tcPr>
            <w:tcW w:w="348" w:type="pct"/>
            <w:tcBorders>
              <w:top w:val="nil"/>
              <w:left w:val="nil"/>
              <w:bottom w:val="single" w:color="auto" w:sz="8" w:space="0"/>
              <w:right w:val="single" w:color="auto" w:sz="8" w:space="0"/>
            </w:tcBorders>
            <w:vAlign w:val="center"/>
          </w:tcPr>
          <w:p w14:paraId="7E45D61C">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7BC2AC57">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3562AB39">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5ADBCF28">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14:paraId="4289C179">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14:paraId="51E85146">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3</w:t>
            </w:r>
          </w:p>
        </w:tc>
      </w:tr>
      <w:tr w14:paraId="0F6628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14:paraId="655BE949">
            <w:pPr>
              <w:spacing w:line="240" w:lineRule="auto"/>
              <w:ind w:firstLine="0" w:firstLineChars="0"/>
              <w:jc w:val="left"/>
              <w:rPr>
                <w:rFonts w:ascii="宋体" w:hAnsi="宋体" w:eastAsia="宋体" w:cs="宋体"/>
                <w:color w:val="333333"/>
                <w:sz w:val="21"/>
                <w:szCs w:val="21"/>
              </w:rPr>
            </w:pPr>
          </w:p>
        </w:tc>
        <w:tc>
          <w:tcPr>
            <w:tcW w:w="2194" w:type="pct"/>
            <w:gridSpan w:val="2"/>
            <w:tcBorders>
              <w:top w:val="nil"/>
              <w:left w:val="nil"/>
              <w:bottom w:val="single" w:color="auto" w:sz="8" w:space="0"/>
              <w:right w:val="single" w:color="auto" w:sz="8" w:space="0"/>
            </w:tcBorders>
            <w:vAlign w:val="center"/>
          </w:tcPr>
          <w:p w14:paraId="30A04EA7">
            <w:pPr>
              <w:widowControl/>
              <w:spacing w:line="30" w:lineRule="atLeast"/>
              <w:ind w:firstLine="0" w:firstLineChars="0"/>
              <w:jc w:val="left"/>
              <w:rPr>
                <w:rFonts w:ascii="宋体" w:hAnsi="宋体" w:eastAsia="宋体" w:cs="宋体"/>
                <w:sz w:val="21"/>
                <w:szCs w:val="21"/>
              </w:rPr>
            </w:pPr>
            <w:r>
              <w:rPr>
                <w:rFonts w:hint="eastAsia" w:ascii="宋体" w:hAnsi="宋体" w:eastAsia="宋体" w:cs="宋体"/>
                <w:color w:val="333333"/>
                <w:kern w:val="0"/>
                <w:sz w:val="21"/>
                <w:szCs w:val="21"/>
              </w:rPr>
              <w:t>（七）总计</w:t>
            </w:r>
          </w:p>
        </w:tc>
        <w:tc>
          <w:tcPr>
            <w:tcW w:w="307" w:type="pct"/>
            <w:tcBorders>
              <w:top w:val="nil"/>
              <w:left w:val="nil"/>
              <w:bottom w:val="single" w:color="auto" w:sz="8" w:space="0"/>
              <w:right w:val="single" w:color="auto" w:sz="8" w:space="0"/>
            </w:tcBorders>
            <w:vAlign w:val="center"/>
          </w:tcPr>
          <w:p w14:paraId="13C92871">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45</w:t>
            </w:r>
          </w:p>
        </w:tc>
        <w:tc>
          <w:tcPr>
            <w:tcW w:w="348" w:type="pct"/>
            <w:tcBorders>
              <w:top w:val="nil"/>
              <w:left w:val="nil"/>
              <w:bottom w:val="single" w:color="auto" w:sz="8" w:space="0"/>
              <w:right w:val="single" w:color="auto" w:sz="8" w:space="0"/>
            </w:tcBorders>
            <w:vAlign w:val="center"/>
          </w:tcPr>
          <w:p w14:paraId="1C8254D6">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1</w:t>
            </w:r>
          </w:p>
        </w:tc>
        <w:tc>
          <w:tcPr>
            <w:tcW w:w="348" w:type="pct"/>
            <w:tcBorders>
              <w:top w:val="nil"/>
              <w:left w:val="nil"/>
              <w:bottom w:val="single" w:color="auto" w:sz="8" w:space="0"/>
              <w:right w:val="single" w:color="auto" w:sz="8" w:space="0"/>
            </w:tcBorders>
            <w:vAlign w:val="center"/>
          </w:tcPr>
          <w:p w14:paraId="6C419956">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1A223569">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1544DA41">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14:paraId="3686710F">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14:paraId="22632563">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46</w:t>
            </w:r>
          </w:p>
        </w:tc>
      </w:tr>
      <w:tr w14:paraId="363283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77" w:type="pct"/>
            <w:gridSpan w:val="3"/>
            <w:tcBorders>
              <w:top w:val="nil"/>
              <w:left w:val="single" w:color="auto" w:sz="8" w:space="0"/>
              <w:bottom w:val="single" w:color="auto" w:sz="8" w:space="0"/>
              <w:right w:val="single" w:color="auto" w:sz="8" w:space="0"/>
            </w:tcBorders>
            <w:vAlign w:val="center"/>
          </w:tcPr>
          <w:p w14:paraId="058330E0">
            <w:pPr>
              <w:widowControl/>
              <w:spacing w:line="30" w:lineRule="atLeast"/>
              <w:ind w:firstLine="0" w:firstLineChars="0"/>
              <w:jc w:val="left"/>
              <w:rPr>
                <w:rFonts w:ascii="宋体" w:hAnsi="宋体" w:eastAsia="宋体" w:cs="宋体"/>
                <w:sz w:val="21"/>
                <w:szCs w:val="21"/>
              </w:rPr>
            </w:pPr>
            <w:r>
              <w:rPr>
                <w:rFonts w:hint="eastAsia" w:ascii="宋体" w:hAnsi="宋体" w:eastAsia="宋体" w:cs="宋体"/>
                <w:color w:val="333333"/>
                <w:kern w:val="0"/>
                <w:sz w:val="21"/>
                <w:szCs w:val="21"/>
              </w:rPr>
              <w:t>四、结转下年度继续办理</w:t>
            </w:r>
          </w:p>
        </w:tc>
        <w:tc>
          <w:tcPr>
            <w:tcW w:w="307" w:type="pct"/>
            <w:tcBorders>
              <w:top w:val="nil"/>
              <w:left w:val="nil"/>
              <w:bottom w:val="single" w:color="auto" w:sz="8" w:space="0"/>
              <w:right w:val="single" w:color="auto" w:sz="8" w:space="0"/>
            </w:tcBorders>
            <w:vAlign w:val="center"/>
          </w:tcPr>
          <w:p w14:paraId="1FAC7DBE">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7</w:t>
            </w:r>
          </w:p>
        </w:tc>
        <w:tc>
          <w:tcPr>
            <w:tcW w:w="348" w:type="pct"/>
            <w:tcBorders>
              <w:top w:val="nil"/>
              <w:left w:val="nil"/>
              <w:bottom w:val="single" w:color="auto" w:sz="8" w:space="0"/>
              <w:right w:val="single" w:color="auto" w:sz="8" w:space="0"/>
            </w:tcBorders>
            <w:vAlign w:val="center"/>
          </w:tcPr>
          <w:p w14:paraId="236D1EA5">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3CE086BB">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663626A9">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14:paraId="43604191">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14:paraId="772A7778">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14:paraId="2381D177">
            <w:pPr>
              <w:spacing w:line="240" w:lineRule="auto"/>
              <w:ind w:firstLine="0" w:firstLineChars="0"/>
              <w:jc w:val="center"/>
              <w:rPr>
                <w:rFonts w:ascii="宋体" w:hAnsi="宋体" w:eastAsia="宋体" w:cs="宋体"/>
                <w:color w:val="333333"/>
                <w:sz w:val="21"/>
                <w:szCs w:val="21"/>
              </w:rPr>
            </w:pPr>
            <w:r>
              <w:rPr>
                <w:rFonts w:ascii="宋体" w:hAnsi="宋体" w:eastAsia="宋体" w:cs="宋体"/>
                <w:color w:val="333333"/>
                <w:sz w:val="21"/>
                <w:szCs w:val="21"/>
              </w:rPr>
              <w:t>7</w:t>
            </w:r>
          </w:p>
        </w:tc>
      </w:tr>
    </w:tbl>
    <w:p w14:paraId="78D6774D">
      <w:pPr>
        <w:widowControl/>
        <w:ind w:firstLine="640"/>
        <w:rPr>
          <w:rFonts w:ascii="黑体" w:hAnsi="黑体" w:eastAsia="黑体" w:cs="黑体"/>
          <w:color w:val="333333"/>
          <w:kern w:val="0"/>
          <w:szCs w:val="32"/>
        </w:rPr>
      </w:pPr>
    </w:p>
    <w:p w14:paraId="3778236B">
      <w:pPr>
        <w:widowControl/>
        <w:ind w:firstLine="640"/>
        <w:rPr>
          <w:rFonts w:ascii="黑体" w:hAnsi="黑体" w:eastAsia="黑体" w:cs="黑体"/>
          <w:color w:val="333333"/>
          <w:kern w:val="0"/>
          <w:szCs w:val="32"/>
        </w:rPr>
      </w:pPr>
      <w:r>
        <w:rPr>
          <w:rFonts w:hint="eastAsia" w:ascii="黑体" w:hAnsi="黑体" w:eastAsia="黑体" w:cs="黑体"/>
          <w:color w:val="333333"/>
          <w:kern w:val="0"/>
          <w:szCs w:val="32"/>
        </w:rPr>
        <w:t>四、政府信息公开行政复议、行政诉讼情况</w:t>
      </w:r>
    </w:p>
    <w:p w14:paraId="3DC76664">
      <w:pPr>
        <w:widowControl/>
        <w:ind w:firstLine="640"/>
        <w:rPr>
          <w:rFonts w:ascii="仿宋" w:hAnsi="仿宋" w:eastAsia="仿宋" w:cs="仿宋"/>
          <w:kern w:val="0"/>
          <w:szCs w:val="32"/>
        </w:rPr>
      </w:pPr>
      <w:r>
        <w:rPr>
          <w:rFonts w:ascii="仿宋" w:hAnsi="仿宋" w:eastAsia="仿宋" w:cs="仿宋"/>
          <w:kern w:val="0"/>
          <w:szCs w:val="32"/>
        </w:rPr>
        <w:t>2023</w:t>
      </w:r>
      <w:r>
        <w:rPr>
          <w:rFonts w:hint="eastAsia" w:ascii="仿宋" w:hAnsi="仿宋" w:eastAsia="仿宋" w:cs="仿宋"/>
          <w:kern w:val="0"/>
          <w:szCs w:val="32"/>
        </w:rPr>
        <w:t>年度，洪山区市场监督管理局涉及政府信息申请公开的行政复议</w:t>
      </w:r>
      <w:r>
        <w:rPr>
          <w:rFonts w:ascii="仿宋" w:hAnsi="仿宋" w:eastAsia="仿宋" w:cs="仿宋"/>
          <w:kern w:val="0"/>
          <w:szCs w:val="32"/>
        </w:rPr>
        <w:t>4</w:t>
      </w:r>
      <w:r>
        <w:rPr>
          <w:rFonts w:hint="eastAsia" w:ascii="仿宋" w:hAnsi="仿宋" w:eastAsia="仿宋" w:cs="仿宋"/>
          <w:kern w:val="0"/>
          <w:szCs w:val="32"/>
        </w:rPr>
        <w:t>件，结果维持</w:t>
      </w:r>
      <w:r>
        <w:rPr>
          <w:rFonts w:ascii="仿宋" w:hAnsi="仿宋" w:eastAsia="仿宋" w:cs="仿宋"/>
          <w:kern w:val="0"/>
          <w:szCs w:val="32"/>
        </w:rPr>
        <w:t>4</w:t>
      </w:r>
      <w:r>
        <w:rPr>
          <w:rFonts w:hint="eastAsia" w:ascii="仿宋" w:hAnsi="仿宋" w:eastAsia="仿宋" w:cs="仿宋"/>
          <w:kern w:val="0"/>
          <w:szCs w:val="32"/>
        </w:rPr>
        <w:t>件。</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599"/>
        <w:gridCol w:w="599"/>
        <w:gridCol w:w="600"/>
        <w:gridCol w:w="614"/>
        <w:gridCol w:w="602"/>
        <w:gridCol w:w="602"/>
        <w:gridCol w:w="602"/>
        <w:gridCol w:w="602"/>
        <w:gridCol w:w="612"/>
        <w:gridCol w:w="602"/>
        <w:gridCol w:w="602"/>
        <w:gridCol w:w="603"/>
        <w:gridCol w:w="603"/>
        <w:gridCol w:w="616"/>
      </w:tblGrid>
      <w:tr w14:paraId="6235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pct"/>
            <w:gridSpan w:val="5"/>
            <w:vAlign w:val="center"/>
          </w:tcPr>
          <w:p w14:paraId="7C1911D9">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行政复议</w:t>
            </w:r>
          </w:p>
        </w:tc>
        <w:tc>
          <w:tcPr>
            <w:tcW w:w="3336" w:type="pct"/>
            <w:gridSpan w:val="10"/>
            <w:vAlign w:val="center"/>
          </w:tcPr>
          <w:p w14:paraId="4EFB3E91">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行政诉讼</w:t>
            </w:r>
          </w:p>
        </w:tc>
      </w:tr>
      <w:tr w14:paraId="0F91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Merge w:val="restart"/>
            <w:tcBorders>
              <w:top w:val="nil"/>
            </w:tcBorders>
            <w:vAlign w:val="center"/>
          </w:tcPr>
          <w:p w14:paraId="76791AE5">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结果维持</w:t>
            </w:r>
          </w:p>
        </w:tc>
        <w:tc>
          <w:tcPr>
            <w:tcW w:w="331" w:type="pct"/>
            <w:vMerge w:val="restart"/>
            <w:tcBorders>
              <w:top w:val="nil"/>
            </w:tcBorders>
            <w:vAlign w:val="center"/>
          </w:tcPr>
          <w:p w14:paraId="61144F18">
            <w:pPr>
              <w:widowControl/>
              <w:spacing w:line="30" w:lineRule="atLeast"/>
              <w:ind w:firstLine="0" w:firstLineChars="0"/>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结果</w:t>
            </w:r>
          </w:p>
          <w:p w14:paraId="56210C9A">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纠正</w:t>
            </w:r>
          </w:p>
        </w:tc>
        <w:tc>
          <w:tcPr>
            <w:tcW w:w="331" w:type="pct"/>
            <w:vMerge w:val="restart"/>
            <w:vAlign w:val="center"/>
          </w:tcPr>
          <w:p w14:paraId="789EA0E4">
            <w:pPr>
              <w:widowControl/>
              <w:spacing w:line="30" w:lineRule="atLeast"/>
              <w:ind w:firstLine="0" w:firstLineChars="0"/>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其他</w:t>
            </w:r>
          </w:p>
          <w:p w14:paraId="27F47F2A">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结果</w:t>
            </w:r>
          </w:p>
        </w:tc>
        <w:tc>
          <w:tcPr>
            <w:tcW w:w="331" w:type="pct"/>
            <w:vMerge w:val="restart"/>
            <w:vAlign w:val="center"/>
          </w:tcPr>
          <w:p w14:paraId="01CD73AE">
            <w:pPr>
              <w:widowControl/>
              <w:spacing w:line="30" w:lineRule="atLeast"/>
              <w:ind w:firstLine="0" w:firstLineChars="0"/>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尚未</w:t>
            </w:r>
          </w:p>
          <w:p w14:paraId="51BEBED0">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审结</w:t>
            </w:r>
          </w:p>
        </w:tc>
        <w:tc>
          <w:tcPr>
            <w:tcW w:w="339" w:type="pct"/>
            <w:vMerge w:val="restart"/>
            <w:vAlign w:val="center"/>
          </w:tcPr>
          <w:p w14:paraId="69FC9CCC">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总计</w:t>
            </w:r>
          </w:p>
        </w:tc>
        <w:tc>
          <w:tcPr>
            <w:tcW w:w="1666" w:type="pct"/>
            <w:gridSpan w:val="5"/>
            <w:vAlign w:val="center"/>
          </w:tcPr>
          <w:p w14:paraId="7DA1DC49">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未经复议直接起诉</w:t>
            </w:r>
          </w:p>
        </w:tc>
        <w:tc>
          <w:tcPr>
            <w:tcW w:w="1669" w:type="pct"/>
            <w:gridSpan w:val="5"/>
            <w:vAlign w:val="center"/>
          </w:tcPr>
          <w:p w14:paraId="72D664E8">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复议后起诉</w:t>
            </w:r>
          </w:p>
        </w:tc>
      </w:tr>
      <w:tr w14:paraId="33B3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Merge w:val="continue"/>
            <w:tcBorders>
              <w:top w:val="nil"/>
            </w:tcBorders>
            <w:vAlign w:val="center"/>
          </w:tcPr>
          <w:p w14:paraId="1A6DB65D">
            <w:pPr>
              <w:spacing w:line="240" w:lineRule="auto"/>
              <w:ind w:firstLine="0" w:firstLineChars="0"/>
              <w:jc w:val="left"/>
              <w:rPr>
                <w:rFonts w:ascii="宋体" w:hAnsi="宋体" w:eastAsia="宋体" w:cs="宋体"/>
                <w:color w:val="333333"/>
                <w:sz w:val="21"/>
                <w:szCs w:val="21"/>
              </w:rPr>
            </w:pPr>
          </w:p>
        </w:tc>
        <w:tc>
          <w:tcPr>
            <w:tcW w:w="331" w:type="pct"/>
            <w:vMerge w:val="continue"/>
            <w:tcBorders>
              <w:top w:val="nil"/>
            </w:tcBorders>
            <w:vAlign w:val="center"/>
          </w:tcPr>
          <w:p w14:paraId="6D15C275">
            <w:pPr>
              <w:spacing w:line="240" w:lineRule="auto"/>
              <w:ind w:firstLine="0" w:firstLineChars="0"/>
              <w:jc w:val="left"/>
              <w:rPr>
                <w:rFonts w:ascii="宋体" w:hAnsi="宋体" w:eastAsia="宋体" w:cs="宋体"/>
                <w:color w:val="333333"/>
                <w:sz w:val="21"/>
                <w:szCs w:val="21"/>
              </w:rPr>
            </w:pPr>
          </w:p>
        </w:tc>
        <w:tc>
          <w:tcPr>
            <w:tcW w:w="331" w:type="pct"/>
            <w:vMerge w:val="continue"/>
            <w:vAlign w:val="center"/>
          </w:tcPr>
          <w:p w14:paraId="66DEA4B3">
            <w:pPr>
              <w:spacing w:line="240" w:lineRule="auto"/>
              <w:ind w:firstLine="0" w:firstLineChars="0"/>
              <w:jc w:val="left"/>
              <w:rPr>
                <w:rFonts w:ascii="宋体" w:hAnsi="宋体" w:eastAsia="宋体" w:cs="宋体"/>
                <w:color w:val="333333"/>
                <w:sz w:val="21"/>
                <w:szCs w:val="21"/>
              </w:rPr>
            </w:pPr>
          </w:p>
        </w:tc>
        <w:tc>
          <w:tcPr>
            <w:tcW w:w="331" w:type="pct"/>
            <w:vMerge w:val="continue"/>
            <w:vAlign w:val="center"/>
          </w:tcPr>
          <w:p w14:paraId="1CD89266">
            <w:pPr>
              <w:spacing w:line="240" w:lineRule="auto"/>
              <w:ind w:firstLine="0" w:firstLineChars="0"/>
              <w:jc w:val="left"/>
              <w:rPr>
                <w:rFonts w:ascii="宋体" w:hAnsi="宋体" w:eastAsia="宋体" w:cs="宋体"/>
                <w:color w:val="333333"/>
                <w:sz w:val="21"/>
                <w:szCs w:val="21"/>
              </w:rPr>
            </w:pPr>
          </w:p>
        </w:tc>
        <w:tc>
          <w:tcPr>
            <w:tcW w:w="339" w:type="pct"/>
            <w:vMerge w:val="continue"/>
            <w:vAlign w:val="center"/>
          </w:tcPr>
          <w:p w14:paraId="3C0C4E7E">
            <w:pPr>
              <w:spacing w:line="240" w:lineRule="auto"/>
              <w:ind w:firstLine="0" w:firstLineChars="0"/>
              <w:jc w:val="left"/>
              <w:rPr>
                <w:rFonts w:ascii="宋体" w:hAnsi="宋体" w:eastAsia="宋体" w:cs="宋体"/>
                <w:color w:val="333333"/>
                <w:sz w:val="21"/>
                <w:szCs w:val="21"/>
              </w:rPr>
            </w:pPr>
          </w:p>
        </w:tc>
        <w:tc>
          <w:tcPr>
            <w:tcW w:w="332" w:type="pct"/>
            <w:vAlign w:val="center"/>
          </w:tcPr>
          <w:p w14:paraId="0B1A0550">
            <w:pPr>
              <w:widowControl/>
              <w:spacing w:line="30" w:lineRule="atLeast"/>
              <w:ind w:firstLine="0" w:firstLineChars="0"/>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结果</w:t>
            </w:r>
          </w:p>
          <w:p w14:paraId="3C064912">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维持</w:t>
            </w:r>
          </w:p>
        </w:tc>
        <w:tc>
          <w:tcPr>
            <w:tcW w:w="332" w:type="pct"/>
            <w:vAlign w:val="center"/>
          </w:tcPr>
          <w:p w14:paraId="0A7176AB">
            <w:pPr>
              <w:widowControl/>
              <w:spacing w:line="30" w:lineRule="atLeast"/>
              <w:ind w:firstLine="0" w:firstLineChars="0"/>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结果</w:t>
            </w:r>
          </w:p>
          <w:p w14:paraId="12826BB6">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纠正</w:t>
            </w:r>
          </w:p>
        </w:tc>
        <w:tc>
          <w:tcPr>
            <w:tcW w:w="332" w:type="pct"/>
            <w:vAlign w:val="center"/>
          </w:tcPr>
          <w:p w14:paraId="4F7FC255">
            <w:pPr>
              <w:widowControl/>
              <w:spacing w:line="30" w:lineRule="atLeast"/>
              <w:ind w:firstLine="0" w:firstLineChars="0"/>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其他</w:t>
            </w:r>
          </w:p>
          <w:p w14:paraId="529F34B9">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结果</w:t>
            </w:r>
          </w:p>
        </w:tc>
        <w:tc>
          <w:tcPr>
            <w:tcW w:w="332" w:type="pct"/>
            <w:vAlign w:val="center"/>
          </w:tcPr>
          <w:p w14:paraId="2540C24B">
            <w:pPr>
              <w:widowControl/>
              <w:spacing w:line="30" w:lineRule="atLeast"/>
              <w:ind w:firstLine="0" w:firstLineChars="0"/>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尚未</w:t>
            </w:r>
          </w:p>
          <w:p w14:paraId="56FBFFEB">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审结</w:t>
            </w:r>
          </w:p>
        </w:tc>
        <w:tc>
          <w:tcPr>
            <w:tcW w:w="336" w:type="pct"/>
            <w:vAlign w:val="center"/>
          </w:tcPr>
          <w:p w14:paraId="6F9E07B2">
            <w:pPr>
              <w:widowControl/>
              <w:spacing w:line="30" w:lineRule="atLeast"/>
              <w:ind w:firstLine="0" w:firstLineChars="0"/>
              <w:jc w:val="center"/>
              <w:rPr>
                <w:rFonts w:ascii="Calibri" w:hAnsi="Calibri" w:eastAsia="宋体"/>
                <w:sz w:val="21"/>
              </w:rPr>
            </w:pPr>
            <w:r>
              <w:rPr>
                <w:rFonts w:hint="eastAsia" w:ascii="宋体" w:hAnsi="宋体" w:eastAsia="宋体" w:cs="宋体"/>
                <w:color w:val="000000"/>
                <w:kern w:val="0"/>
                <w:sz w:val="20"/>
                <w:szCs w:val="20"/>
              </w:rPr>
              <w:t>总计</w:t>
            </w:r>
          </w:p>
        </w:tc>
        <w:tc>
          <w:tcPr>
            <w:tcW w:w="332" w:type="pct"/>
            <w:vAlign w:val="center"/>
          </w:tcPr>
          <w:p w14:paraId="254DD898">
            <w:pPr>
              <w:widowControl/>
              <w:spacing w:line="30" w:lineRule="atLeast"/>
              <w:ind w:firstLine="0" w:firstLineChars="0"/>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结果</w:t>
            </w:r>
          </w:p>
          <w:p w14:paraId="4AE2F5BA">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维持</w:t>
            </w:r>
          </w:p>
        </w:tc>
        <w:tc>
          <w:tcPr>
            <w:tcW w:w="332" w:type="pct"/>
            <w:vAlign w:val="center"/>
          </w:tcPr>
          <w:p w14:paraId="3E2196FB">
            <w:pPr>
              <w:widowControl/>
              <w:spacing w:line="30" w:lineRule="atLeast"/>
              <w:ind w:firstLine="0" w:firstLineChars="0"/>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结果</w:t>
            </w:r>
          </w:p>
          <w:p w14:paraId="4B5D6B0F">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纠正</w:t>
            </w:r>
          </w:p>
        </w:tc>
        <w:tc>
          <w:tcPr>
            <w:tcW w:w="333" w:type="pct"/>
            <w:vAlign w:val="center"/>
          </w:tcPr>
          <w:p w14:paraId="4D3E2315">
            <w:pPr>
              <w:widowControl/>
              <w:spacing w:line="30" w:lineRule="atLeas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w:t>
            </w:r>
          </w:p>
          <w:p w14:paraId="2F15DF68">
            <w:pPr>
              <w:widowControl/>
              <w:spacing w:line="30" w:lineRule="atLeast"/>
              <w:ind w:firstLine="0" w:firstLineChars="0"/>
              <w:jc w:val="center"/>
              <w:rPr>
                <w:rFonts w:ascii="Calibri" w:hAnsi="Calibri" w:eastAsia="宋体"/>
                <w:sz w:val="21"/>
              </w:rPr>
            </w:pPr>
            <w:r>
              <w:rPr>
                <w:rFonts w:hint="eastAsia" w:ascii="宋体" w:hAnsi="宋体" w:eastAsia="宋体" w:cs="宋体"/>
                <w:color w:val="000000"/>
                <w:kern w:val="0"/>
                <w:sz w:val="20"/>
                <w:szCs w:val="20"/>
              </w:rPr>
              <w:t>结果</w:t>
            </w:r>
          </w:p>
        </w:tc>
        <w:tc>
          <w:tcPr>
            <w:tcW w:w="333" w:type="pct"/>
            <w:vAlign w:val="center"/>
          </w:tcPr>
          <w:p w14:paraId="7DA1F98F">
            <w:pPr>
              <w:widowControl/>
              <w:spacing w:line="30" w:lineRule="atLeast"/>
              <w:ind w:firstLine="0" w:firstLineChars="0"/>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尚未</w:t>
            </w:r>
          </w:p>
          <w:p w14:paraId="7D6C96E6">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审结</w:t>
            </w:r>
          </w:p>
        </w:tc>
        <w:tc>
          <w:tcPr>
            <w:tcW w:w="337" w:type="pct"/>
            <w:vAlign w:val="center"/>
          </w:tcPr>
          <w:p w14:paraId="483EAA59">
            <w:pPr>
              <w:widowControl/>
              <w:spacing w:line="30" w:lineRule="atLeast"/>
              <w:ind w:firstLine="0" w:firstLineChars="0"/>
              <w:jc w:val="center"/>
              <w:rPr>
                <w:rFonts w:ascii="Calibri" w:hAnsi="Calibri" w:eastAsia="宋体"/>
                <w:sz w:val="21"/>
              </w:rPr>
            </w:pPr>
            <w:r>
              <w:rPr>
                <w:rFonts w:hint="eastAsia" w:ascii="宋体" w:hAnsi="宋体" w:eastAsia="宋体" w:cs="宋体"/>
                <w:color w:val="000000"/>
                <w:kern w:val="0"/>
                <w:sz w:val="20"/>
                <w:szCs w:val="20"/>
              </w:rPr>
              <w:t>总计</w:t>
            </w:r>
          </w:p>
        </w:tc>
      </w:tr>
      <w:tr w14:paraId="722C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1" w:type="pct"/>
            <w:vAlign w:val="center"/>
          </w:tcPr>
          <w:p w14:paraId="1A7E4DC3">
            <w:pPr>
              <w:widowControl/>
              <w:spacing w:line="30" w:lineRule="atLeast"/>
              <w:ind w:firstLine="0" w:firstLineChars="0"/>
              <w:jc w:val="center"/>
              <w:rPr>
                <w:rFonts w:ascii="Calibri" w:hAnsi="Calibri" w:eastAsia="宋体"/>
                <w:sz w:val="21"/>
              </w:rPr>
            </w:pPr>
            <w:r>
              <w:rPr>
                <w:rFonts w:ascii="黑体" w:hAnsi="宋体" w:eastAsia="黑体" w:cs="黑体"/>
                <w:color w:val="333333"/>
                <w:sz w:val="20"/>
                <w:szCs w:val="20"/>
              </w:rPr>
              <w:t>4</w:t>
            </w:r>
          </w:p>
        </w:tc>
        <w:tc>
          <w:tcPr>
            <w:tcW w:w="331" w:type="pct"/>
            <w:vAlign w:val="center"/>
          </w:tcPr>
          <w:p w14:paraId="4C45D8EA">
            <w:pPr>
              <w:widowControl/>
              <w:spacing w:line="30" w:lineRule="atLeast"/>
              <w:ind w:firstLine="0" w:firstLineChars="0"/>
              <w:jc w:val="center"/>
              <w:rPr>
                <w:rFonts w:ascii="Calibri" w:hAnsi="Calibri" w:eastAsia="宋体"/>
                <w:sz w:val="21"/>
              </w:rPr>
            </w:pPr>
            <w:r>
              <w:rPr>
                <w:rFonts w:ascii="黑体" w:hAnsi="宋体" w:eastAsia="黑体" w:cs="黑体"/>
                <w:color w:val="333333"/>
                <w:sz w:val="20"/>
                <w:szCs w:val="20"/>
              </w:rPr>
              <w:t>0</w:t>
            </w:r>
          </w:p>
        </w:tc>
        <w:tc>
          <w:tcPr>
            <w:tcW w:w="331" w:type="pct"/>
            <w:vAlign w:val="center"/>
          </w:tcPr>
          <w:p w14:paraId="2CD044A4">
            <w:pPr>
              <w:widowControl/>
              <w:spacing w:line="30" w:lineRule="atLeast"/>
              <w:ind w:firstLine="0" w:firstLineChars="0"/>
              <w:jc w:val="center"/>
              <w:rPr>
                <w:rFonts w:ascii="Calibri" w:hAnsi="Calibri" w:eastAsia="宋体"/>
                <w:sz w:val="21"/>
              </w:rPr>
            </w:pPr>
            <w:r>
              <w:rPr>
                <w:rFonts w:ascii="黑体" w:hAnsi="宋体" w:eastAsia="黑体" w:cs="黑体"/>
                <w:color w:val="333333"/>
                <w:sz w:val="20"/>
                <w:szCs w:val="20"/>
              </w:rPr>
              <w:t>0</w:t>
            </w:r>
          </w:p>
        </w:tc>
        <w:tc>
          <w:tcPr>
            <w:tcW w:w="331" w:type="pct"/>
            <w:vAlign w:val="center"/>
          </w:tcPr>
          <w:p w14:paraId="5D70510E">
            <w:pPr>
              <w:widowControl/>
              <w:spacing w:line="30" w:lineRule="atLeast"/>
              <w:ind w:firstLine="0" w:firstLineChars="0"/>
              <w:jc w:val="center"/>
              <w:rPr>
                <w:rFonts w:ascii="Calibri" w:hAnsi="Calibri" w:eastAsia="宋体"/>
                <w:sz w:val="21"/>
              </w:rPr>
            </w:pPr>
            <w:r>
              <w:rPr>
                <w:rFonts w:ascii="黑体" w:hAnsi="宋体" w:eastAsia="黑体" w:cs="黑体"/>
                <w:color w:val="333333"/>
                <w:sz w:val="20"/>
                <w:szCs w:val="20"/>
              </w:rPr>
              <w:t>0</w:t>
            </w:r>
          </w:p>
        </w:tc>
        <w:tc>
          <w:tcPr>
            <w:tcW w:w="339" w:type="pct"/>
            <w:vAlign w:val="center"/>
          </w:tcPr>
          <w:p w14:paraId="1DEED247">
            <w:pPr>
              <w:widowControl/>
              <w:spacing w:line="30" w:lineRule="atLeast"/>
              <w:ind w:firstLine="0" w:firstLineChars="0"/>
              <w:jc w:val="center"/>
              <w:rPr>
                <w:rFonts w:hint="eastAsia" w:ascii="Calibri" w:hAnsi="Calibri" w:eastAsia="宋体"/>
                <w:sz w:val="21"/>
                <w:lang w:eastAsia="zh-CN"/>
              </w:rPr>
            </w:pPr>
            <w:r>
              <w:rPr>
                <w:rFonts w:hint="eastAsia" w:ascii="黑体" w:hAnsi="宋体" w:eastAsia="黑体" w:cs="黑体"/>
                <w:color w:val="333333"/>
                <w:sz w:val="20"/>
                <w:szCs w:val="20"/>
                <w:lang w:val="en-US" w:eastAsia="zh-CN"/>
              </w:rPr>
              <w:t>4</w:t>
            </w:r>
          </w:p>
        </w:tc>
        <w:tc>
          <w:tcPr>
            <w:tcW w:w="332" w:type="pct"/>
            <w:vAlign w:val="center"/>
          </w:tcPr>
          <w:p w14:paraId="238CD5C5">
            <w:pPr>
              <w:widowControl/>
              <w:spacing w:line="30" w:lineRule="atLeast"/>
              <w:ind w:firstLine="0" w:firstLineChars="0"/>
              <w:jc w:val="center"/>
              <w:rPr>
                <w:rFonts w:ascii="Calibri" w:hAnsi="Calibri" w:eastAsia="宋体"/>
                <w:sz w:val="21"/>
              </w:rPr>
            </w:pPr>
            <w:r>
              <w:rPr>
                <w:rFonts w:ascii="黑体" w:hAnsi="宋体" w:eastAsia="黑体" w:cs="黑体"/>
                <w:color w:val="333333"/>
                <w:sz w:val="20"/>
                <w:szCs w:val="20"/>
              </w:rPr>
              <w:t>0</w:t>
            </w:r>
          </w:p>
        </w:tc>
        <w:tc>
          <w:tcPr>
            <w:tcW w:w="332" w:type="pct"/>
            <w:vAlign w:val="center"/>
          </w:tcPr>
          <w:p w14:paraId="10E73447">
            <w:pPr>
              <w:widowControl/>
              <w:spacing w:line="30" w:lineRule="atLeast"/>
              <w:ind w:firstLine="0" w:firstLineChars="0"/>
              <w:jc w:val="center"/>
              <w:rPr>
                <w:rFonts w:ascii="Calibri" w:hAnsi="Calibri" w:eastAsia="宋体"/>
                <w:sz w:val="21"/>
              </w:rPr>
            </w:pPr>
            <w:r>
              <w:rPr>
                <w:rFonts w:ascii="黑体" w:hAnsi="宋体" w:eastAsia="黑体" w:cs="黑体"/>
                <w:color w:val="333333"/>
                <w:sz w:val="20"/>
                <w:szCs w:val="20"/>
              </w:rPr>
              <w:t>0</w:t>
            </w:r>
          </w:p>
        </w:tc>
        <w:tc>
          <w:tcPr>
            <w:tcW w:w="332" w:type="pct"/>
            <w:vAlign w:val="center"/>
          </w:tcPr>
          <w:p w14:paraId="6DBD8849">
            <w:pPr>
              <w:widowControl/>
              <w:spacing w:line="30" w:lineRule="atLeast"/>
              <w:ind w:firstLine="0" w:firstLineChars="0"/>
              <w:jc w:val="center"/>
              <w:rPr>
                <w:rFonts w:ascii="Calibri" w:hAnsi="Calibri" w:eastAsia="宋体"/>
                <w:sz w:val="21"/>
              </w:rPr>
            </w:pPr>
            <w:r>
              <w:rPr>
                <w:rFonts w:ascii="黑体" w:hAnsi="宋体" w:eastAsia="黑体" w:cs="黑体"/>
                <w:color w:val="333333"/>
                <w:sz w:val="20"/>
                <w:szCs w:val="20"/>
              </w:rPr>
              <w:t>0</w:t>
            </w:r>
          </w:p>
        </w:tc>
        <w:tc>
          <w:tcPr>
            <w:tcW w:w="332" w:type="pct"/>
            <w:vAlign w:val="center"/>
          </w:tcPr>
          <w:p w14:paraId="3BA626FC">
            <w:pPr>
              <w:widowControl/>
              <w:spacing w:line="30" w:lineRule="atLeast"/>
              <w:ind w:firstLine="0" w:firstLineChars="0"/>
              <w:jc w:val="center"/>
              <w:rPr>
                <w:rFonts w:ascii="Calibri" w:hAnsi="Calibri" w:eastAsia="宋体"/>
                <w:sz w:val="21"/>
              </w:rPr>
            </w:pPr>
            <w:r>
              <w:rPr>
                <w:rFonts w:ascii="黑体" w:hAnsi="宋体" w:eastAsia="黑体" w:cs="黑体"/>
                <w:color w:val="333333"/>
                <w:sz w:val="20"/>
                <w:szCs w:val="20"/>
              </w:rPr>
              <w:t>0</w:t>
            </w:r>
          </w:p>
        </w:tc>
        <w:tc>
          <w:tcPr>
            <w:tcW w:w="336" w:type="pct"/>
            <w:vAlign w:val="center"/>
          </w:tcPr>
          <w:p w14:paraId="3453C730">
            <w:pPr>
              <w:widowControl/>
              <w:spacing w:line="30" w:lineRule="atLeast"/>
              <w:ind w:firstLine="0" w:firstLineChars="0"/>
              <w:jc w:val="center"/>
              <w:rPr>
                <w:rFonts w:ascii="Calibri" w:hAnsi="Calibri" w:eastAsia="宋体"/>
                <w:sz w:val="21"/>
              </w:rPr>
            </w:pPr>
            <w:r>
              <w:rPr>
                <w:rFonts w:ascii="黑体" w:hAnsi="宋体" w:eastAsia="黑体" w:cs="黑体"/>
                <w:color w:val="333333"/>
                <w:sz w:val="20"/>
                <w:szCs w:val="20"/>
              </w:rPr>
              <w:t>0</w:t>
            </w:r>
          </w:p>
        </w:tc>
        <w:tc>
          <w:tcPr>
            <w:tcW w:w="332" w:type="pct"/>
            <w:vAlign w:val="center"/>
          </w:tcPr>
          <w:p w14:paraId="74E0E17D">
            <w:pPr>
              <w:widowControl/>
              <w:spacing w:line="30" w:lineRule="atLeast"/>
              <w:ind w:firstLine="0" w:firstLineChars="0"/>
              <w:jc w:val="center"/>
              <w:rPr>
                <w:rFonts w:ascii="Calibri" w:hAnsi="Calibri" w:eastAsia="宋体"/>
                <w:sz w:val="21"/>
              </w:rPr>
            </w:pPr>
            <w:r>
              <w:rPr>
                <w:rFonts w:ascii="黑体" w:hAnsi="宋体" w:eastAsia="黑体" w:cs="黑体"/>
                <w:color w:val="333333"/>
                <w:sz w:val="20"/>
                <w:szCs w:val="20"/>
              </w:rPr>
              <w:t>0</w:t>
            </w:r>
          </w:p>
        </w:tc>
        <w:tc>
          <w:tcPr>
            <w:tcW w:w="332" w:type="pct"/>
            <w:vAlign w:val="center"/>
          </w:tcPr>
          <w:p w14:paraId="41EC49BF">
            <w:pPr>
              <w:widowControl/>
              <w:spacing w:line="30" w:lineRule="atLeast"/>
              <w:ind w:firstLine="0" w:firstLineChars="0"/>
              <w:jc w:val="center"/>
              <w:rPr>
                <w:rFonts w:ascii="Calibri" w:hAnsi="Calibri" w:eastAsia="宋体"/>
                <w:sz w:val="21"/>
              </w:rPr>
            </w:pPr>
            <w:r>
              <w:rPr>
                <w:rFonts w:ascii="黑体" w:hAnsi="宋体" w:eastAsia="黑体" w:cs="黑体"/>
                <w:color w:val="333333"/>
                <w:sz w:val="20"/>
                <w:szCs w:val="20"/>
              </w:rPr>
              <w:t>0</w:t>
            </w:r>
          </w:p>
        </w:tc>
        <w:tc>
          <w:tcPr>
            <w:tcW w:w="333" w:type="pct"/>
            <w:vAlign w:val="center"/>
          </w:tcPr>
          <w:p w14:paraId="31EB9FA6">
            <w:pPr>
              <w:widowControl/>
              <w:spacing w:line="30" w:lineRule="atLeast"/>
              <w:ind w:firstLine="0" w:firstLineChars="0"/>
              <w:jc w:val="center"/>
              <w:rPr>
                <w:rFonts w:ascii="Calibri" w:hAnsi="Calibri" w:eastAsia="宋体"/>
                <w:sz w:val="21"/>
              </w:rPr>
            </w:pPr>
            <w:r>
              <w:rPr>
                <w:rFonts w:ascii="黑体" w:hAnsi="宋体" w:eastAsia="黑体" w:cs="黑体"/>
                <w:color w:val="333333"/>
                <w:sz w:val="20"/>
                <w:szCs w:val="20"/>
              </w:rPr>
              <w:t>0</w:t>
            </w:r>
          </w:p>
        </w:tc>
        <w:tc>
          <w:tcPr>
            <w:tcW w:w="333" w:type="pct"/>
            <w:vAlign w:val="center"/>
          </w:tcPr>
          <w:p w14:paraId="47643E61">
            <w:pPr>
              <w:widowControl/>
              <w:spacing w:line="30" w:lineRule="atLeast"/>
              <w:ind w:firstLine="0" w:firstLineChars="0"/>
              <w:jc w:val="center"/>
              <w:rPr>
                <w:rFonts w:ascii="Calibri" w:hAnsi="Calibri" w:eastAsia="宋体"/>
                <w:sz w:val="21"/>
              </w:rPr>
            </w:pPr>
            <w:r>
              <w:rPr>
                <w:rFonts w:ascii="黑体" w:hAnsi="宋体" w:eastAsia="黑体" w:cs="黑体"/>
                <w:color w:val="333333"/>
                <w:sz w:val="20"/>
                <w:szCs w:val="20"/>
              </w:rPr>
              <w:t>0</w:t>
            </w:r>
          </w:p>
        </w:tc>
        <w:tc>
          <w:tcPr>
            <w:tcW w:w="337" w:type="pct"/>
            <w:vAlign w:val="center"/>
          </w:tcPr>
          <w:p w14:paraId="07A4D05C">
            <w:pPr>
              <w:spacing w:line="240" w:lineRule="auto"/>
              <w:ind w:firstLine="0" w:firstLineChars="0"/>
              <w:jc w:val="center"/>
              <w:rPr>
                <w:rFonts w:ascii="宋体" w:hAnsi="宋体" w:eastAsia="宋体" w:cs="宋体"/>
                <w:color w:val="333333"/>
                <w:sz w:val="21"/>
                <w:szCs w:val="21"/>
              </w:rPr>
            </w:pPr>
            <w:r>
              <w:rPr>
                <w:rFonts w:ascii="宋体" w:hAnsi="宋体" w:eastAsia="宋体" w:cs="宋体"/>
                <w:color w:val="333333"/>
                <w:sz w:val="21"/>
                <w:szCs w:val="21"/>
              </w:rPr>
              <w:t>0</w:t>
            </w:r>
          </w:p>
        </w:tc>
      </w:tr>
    </w:tbl>
    <w:p w14:paraId="5B07B385">
      <w:pPr>
        <w:widowControl/>
        <w:ind w:left="0" w:leftChars="0" w:firstLine="640" w:firstLineChars="200"/>
        <w:rPr>
          <w:rFonts w:ascii="黑体" w:hAnsi="黑体" w:eastAsia="黑体" w:cs="黑体"/>
          <w:color w:val="333333"/>
          <w:kern w:val="0"/>
          <w:szCs w:val="32"/>
        </w:rPr>
      </w:pPr>
      <w:r>
        <w:rPr>
          <w:rFonts w:hint="eastAsia" w:ascii="黑体" w:hAnsi="黑体" w:eastAsia="黑体" w:cs="黑体"/>
          <w:color w:val="333333"/>
          <w:kern w:val="0"/>
          <w:szCs w:val="32"/>
        </w:rPr>
        <w:t>五、存在的主要问题及改进情况</w:t>
      </w:r>
    </w:p>
    <w:p w14:paraId="65E781BB">
      <w:pPr>
        <w:widowControl/>
        <w:ind w:left="0" w:leftChars="0" w:firstLine="640" w:firstLineChars="200"/>
        <w:jc w:val="both"/>
        <w:rPr>
          <w:rFonts w:hint="eastAsia" w:ascii="仿宋" w:hAnsi="仿宋" w:eastAsia="仿宋" w:cs="仿宋"/>
          <w:szCs w:val="32"/>
          <w:highlight w:val="none"/>
          <w:lang w:val="en-US" w:eastAsia="zh-CN"/>
        </w:rPr>
      </w:pPr>
      <w:r>
        <w:rPr>
          <w:rFonts w:hint="eastAsia" w:ascii="仿宋" w:hAnsi="仿宋" w:eastAsia="仿宋" w:cs="仿宋"/>
          <w:szCs w:val="32"/>
          <w:highlight w:val="none"/>
          <w:lang w:val="en-US" w:eastAsia="zh-CN"/>
        </w:rPr>
        <w:t>2023年，我局围绕区委区政府重大决策部署和群众关切事项，加大信息发布、政策解读和热点回应力度，注意公开效果，取得明显进步。一是不断健全信息公开工作机制。健全及时公开机制，要求局属各单位在信息制作完成或获取后 20 个工作日内公开;建立政策解读机制，凡重要政策文件和重大举措出台，要求相关科室通过多种方式做好科学解读工作;完善部门信息发布审查机制，按照“谁主管、谁负责”的原则，做好信息发布审查工作。二是不断加大政府信息公开力度。2023年，我局以区政府网站作为政府信息公开第一平台，开设有13个栏目，并对每个栏目都及时进行信息更新。二是不断拓展政府信息公开范围。进一步加大对市场监管重点领域和社会关注事项政府信息的公开，2023年，我局重点在食品药品监管方面公开信息95条，“双随机、一公开”方面公开信息6条，涉农补贴方面信息6条。</w:t>
      </w:r>
    </w:p>
    <w:p w14:paraId="6F77F86E">
      <w:pPr>
        <w:widowControl/>
        <w:ind w:firstLine="640"/>
        <w:jc w:val="both"/>
        <w:rPr>
          <w:rFonts w:ascii="仿宋" w:hAnsi="仿宋" w:eastAsia="仿宋" w:cs="仿宋"/>
          <w:szCs w:val="32"/>
          <w:highlight w:val="none"/>
        </w:rPr>
      </w:pPr>
      <w:r>
        <w:rPr>
          <w:rFonts w:ascii="仿宋" w:hAnsi="仿宋" w:eastAsia="仿宋" w:cs="仿宋"/>
          <w:szCs w:val="32"/>
          <w:highlight w:val="none"/>
        </w:rPr>
        <w:t>2023</w:t>
      </w:r>
      <w:r>
        <w:rPr>
          <w:rFonts w:hint="eastAsia" w:ascii="仿宋" w:hAnsi="仿宋" w:eastAsia="仿宋" w:cs="仿宋"/>
          <w:szCs w:val="32"/>
          <w:highlight w:val="none"/>
        </w:rPr>
        <w:t>年，我局政府信息公开工作虽然取得了一定成效，</w:t>
      </w:r>
      <w:r>
        <w:rPr>
          <w:rFonts w:hint="eastAsia" w:ascii="仿宋" w:hAnsi="仿宋" w:eastAsia="仿宋" w:cs="仿宋"/>
          <w:kern w:val="0"/>
          <w:szCs w:val="32"/>
          <w:highlight w:val="none"/>
        </w:rPr>
        <w:t>但与</w:t>
      </w:r>
      <w:r>
        <w:rPr>
          <w:rFonts w:hint="eastAsia" w:ascii="仿宋" w:hAnsi="仿宋" w:eastAsia="仿宋" w:cs="仿宋"/>
          <w:kern w:val="0"/>
          <w:szCs w:val="32"/>
          <w:highlight w:val="none"/>
          <w:lang w:eastAsia="zh-CN"/>
        </w:rPr>
        <w:t>《中华人民共和国政府信息公开条例》</w:t>
      </w:r>
      <w:r>
        <w:rPr>
          <w:rFonts w:hint="eastAsia" w:ascii="仿宋" w:hAnsi="仿宋" w:eastAsia="仿宋" w:cs="仿宋"/>
          <w:kern w:val="0"/>
          <w:szCs w:val="32"/>
          <w:highlight w:val="none"/>
        </w:rPr>
        <w:t>的要求以及人民群众的期盼</w:t>
      </w:r>
      <w:r>
        <w:rPr>
          <w:rFonts w:hint="eastAsia" w:ascii="仿宋" w:hAnsi="仿宋" w:eastAsia="仿宋" w:cs="仿宋"/>
          <w:szCs w:val="32"/>
          <w:highlight w:val="none"/>
        </w:rPr>
        <w:t>还有一定的</w:t>
      </w:r>
      <w:r>
        <w:rPr>
          <w:rFonts w:ascii="仿宋" w:hAnsi="仿宋" w:eastAsia="仿宋" w:cs="仿宋"/>
          <w:szCs w:val="32"/>
          <w:highlight w:val="none"/>
        </w:rPr>
        <w:t>差距</w:t>
      </w:r>
      <w:r>
        <w:rPr>
          <w:rFonts w:hint="eastAsia" w:ascii="仿宋" w:hAnsi="仿宋" w:eastAsia="仿宋" w:cs="仿宋"/>
          <w:szCs w:val="32"/>
          <w:highlight w:val="none"/>
        </w:rPr>
        <w:t>，</w:t>
      </w:r>
      <w:r>
        <w:rPr>
          <w:rFonts w:ascii="仿宋" w:hAnsi="仿宋" w:eastAsia="仿宋" w:cs="仿宋"/>
          <w:szCs w:val="32"/>
          <w:highlight w:val="none"/>
        </w:rPr>
        <w:t>2024</w:t>
      </w:r>
      <w:r>
        <w:rPr>
          <w:rFonts w:hint="eastAsia" w:ascii="仿宋" w:hAnsi="仿宋" w:eastAsia="仿宋" w:cs="仿宋"/>
          <w:szCs w:val="32"/>
          <w:highlight w:val="none"/>
        </w:rPr>
        <w:t>年，我局将重点从以下方面加以改进：</w:t>
      </w:r>
    </w:p>
    <w:p w14:paraId="7354BFBE">
      <w:pPr>
        <w:widowControl/>
        <w:ind w:firstLine="640"/>
        <w:jc w:val="both"/>
        <w:rPr>
          <w:rFonts w:ascii="仿宋" w:hAnsi="仿宋" w:eastAsia="仿宋" w:cs="仿宋"/>
          <w:kern w:val="0"/>
          <w:szCs w:val="32"/>
          <w:highlight w:val="none"/>
        </w:rPr>
      </w:pPr>
      <w:r>
        <w:rPr>
          <w:rFonts w:hint="eastAsia" w:ascii="仿宋" w:hAnsi="仿宋" w:eastAsia="仿宋" w:cs="仿宋"/>
          <w:kern w:val="0"/>
          <w:szCs w:val="32"/>
          <w:highlight w:val="none"/>
        </w:rPr>
        <w:t>一是强化主动公开意识，及时、准确公开信息，保障人民群众知情权。</w:t>
      </w:r>
    </w:p>
    <w:p w14:paraId="5F93FA11">
      <w:pPr>
        <w:widowControl/>
        <w:ind w:firstLine="640"/>
        <w:jc w:val="both"/>
        <w:rPr>
          <w:rFonts w:ascii="仿宋" w:hAnsi="仿宋" w:eastAsia="仿宋" w:cs="仿宋"/>
          <w:szCs w:val="32"/>
          <w:highlight w:val="none"/>
        </w:rPr>
      </w:pPr>
      <w:r>
        <w:rPr>
          <w:rFonts w:hint="eastAsia" w:ascii="仿宋" w:hAnsi="仿宋" w:eastAsia="仿宋" w:cs="仿宋"/>
          <w:szCs w:val="32"/>
          <w:highlight w:val="none"/>
        </w:rPr>
        <w:t>二是进一步完善工作制度机制</w:t>
      </w:r>
      <w:r>
        <w:rPr>
          <w:rFonts w:hint="eastAsia" w:ascii="仿宋" w:hAnsi="仿宋" w:eastAsia="仿宋" w:cs="仿宋"/>
          <w:kern w:val="0"/>
          <w:szCs w:val="32"/>
          <w:highlight w:val="none"/>
        </w:rPr>
        <w:t>，规范程序、明确责任、强化监督</w:t>
      </w:r>
      <w:r>
        <w:rPr>
          <w:rFonts w:hint="eastAsia" w:ascii="仿宋" w:hAnsi="仿宋" w:eastAsia="仿宋" w:cs="仿宋"/>
          <w:szCs w:val="32"/>
          <w:highlight w:val="none"/>
        </w:rPr>
        <w:t>。</w:t>
      </w:r>
    </w:p>
    <w:p w14:paraId="08AA36C0">
      <w:pPr>
        <w:widowControl/>
        <w:ind w:firstLine="640"/>
        <w:rPr>
          <w:rFonts w:ascii="仿宋" w:hAnsi="仿宋" w:eastAsia="仿宋" w:cs="仿宋"/>
          <w:kern w:val="0"/>
          <w:szCs w:val="32"/>
          <w:highlight w:val="none"/>
        </w:rPr>
      </w:pPr>
      <w:r>
        <w:rPr>
          <w:rFonts w:hint="eastAsia" w:ascii="仿宋" w:hAnsi="仿宋" w:eastAsia="仿宋" w:cs="仿宋"/>
          <w:kern w:val="0"/>
          <w:szCs w:val="32"/>
          <w:highlight w:val="none"/>
        </w:rPr>
        <w:t>三是做细做实做好政府信息公开日常工作，提高工作效能，夯实工作基础。</w:t>
      </w:r>
    </w:p>
    <w:p w14:paraId="1E0CE2DF">
      <w:pPr>
        <w:widowControl/>
        <w:numPr>
          <w:ilvl w:val="0"/>
          <w:numId w:val="4"/>
        </w:numPr>
        <w:ind w:firstLine="640"/>
        <w:rPr>
          <w:rFonts w:hint="eastAsia" w:ascii="黑体" w:hAnsi="黑体" w:eastAsia="黑体" w:cs="黑体"/>
          <w:color w:val="333333"/>
          <w:kern w:val="0"/>
          <w:szCs w:val="32"/>
          <w:highlight w:val="none"/>
        </w:rPr>
      </w:pPr>
      <w:r>
        <w:rPr>
          <w:rFonts w:hint="eastAsia" w:ascii="黑体" w:hAnsi="黑体" w:eastAsia="黑体" w:cs="黑体"/>
          <w:color w:val="333333"/>
          <w:kern w:val="0"/>
          <w:szCs w:val="32"/>
          <w:highlight w:val="none"/>
        </w:rPr>
        <w:t>其他需要报告的事项</w:t>
      </w:r>
    </w:p>
    <w:p w14:paraId="2B4EBABF">
      <w:pPr>
        <w:widowControl/>
        <w:ind w:firstLine="640"/>
        <w:rPr>
          <w:rFonts w:hint="default" w:ascii="仿宋" w:hAnsi="仿宋" w:eastAsia="仿宋" w:cs="仿宋"/>
          <w:kern w:val="0"/>
          <w:szCs w:val="32"/>
          <w:highlight w:val="none"/>
          <w:lang w:val="en-US" w:eastAsia="zh-CN"/>
        </w:rPr>
      </w:pPr>
      <w:r>
        <w:rPr>
          <w:rFonts w:hint="eastAsia" w:ascii="仿宋" w:hAnsi="仿宋" w:eastAsia="仿宋" w:cs="仿宋"/>
          <w:kern w:val="0"/>
          <w:szCs w:val="32"/>
          <w:highlight w:val="none"/>
          <w:lang w:val="en-US" w:eastAsia="zh-CN"/>
        </w:rPr>
        <w:t>根据我局职能和重点工作，细化公开目录并进行及时更新完善，及时向社会发布工作动态和相关工作数据。2023年我局主动发布政府信息共计145条。其中，公益事业建设类信息101条，主要涉及食品监管（90条），药品监管（5条），市场监管（1条），疫苗监管（1条），“双随机、一公开”信息（6条），行政处罚（1条）。公共资源配置类信息主要是涉农补贴（6条）。其他</w:t>
      </w:r>
      <w:r>
        <w:rPr>
          <w:rFonts w:hint="default" w:ascii="仿宋" w:hAnsi="仿宋" w:eastAsia="仿宋" w:cs="仿宋"/>
          <w:kern w:val="0"/>
          <w:szCs w:val="32"/>
          <w:highlight w:val="none"/>
          <w:lang w:val="en-US" w:eastAsia="zh-CN"/>
        </w:rPr>
        <w:t>各类信息</w:t>
      </w:r>
      <w:r>
        <w:rPr>
          <w:rFonts w:hint="eastAsia" w:ascii="仿宋" w:hAnsi="仿宋" w:eastAsia="仿宋" w:cs="仿宋"/>
          <w:kern w:val="0"/>
          <w:szCs w:val="32"/>
          <w:highlight w:val="none"/>
          <w:lang w:val="en-US" w:eastAsia="zh-CN"/>
        </w:rPr>
        <w:t>35</w:t>
      </w:r>
      <w:r>
        <w:rPr>
          <w:rFonts w:hint="default" w:ascii="仿宋" w:hAnsi="仿宋" w:eastAsia="仿宋" w:cs="仿宋"/>
          <w:kern w:val="0"/>
          <w:szCs w:val="32"/>
          <w:highlight w:val="none"/>
          <w:lang w:val="en-US" w:eastAsia="zh-CN"/>
        </w:rPr>
        <w:t>条，</w:t>
      </w:r>
      <w:r>
        <w:rPr>
          <w:rFonts w:hint="eastAsia" w:ascii="仿宋" w:hAnsi="仿宋" w:eastAsia="仿宋" w:cs="仿宋"/>
          <w:kern w:val="0"/>
          <w:szCs w:val="32"/>
          <w:highlight w:val="none"/>
          <w:lang w:val="en-US" w:eastAsia="zh-CN"/>
        </w:rPr>
        <w:t>主要涉及公示公告（18条），政策法规（9条，财政信息（6条），</w:t>
      </w:r>
      <w:r>
        <w:rPr>
          <w:rFonts w:hint="default" w:ascii="仿宋" w:hAnsi="仿宋" w:eastAsia="仿宋" w:cs="仿宋"/>
          <w:kern w:val="0"/>
          <w:szCs w:val="32"/>
          <w:highlight w:val="none"/>
          <w:lang w:val="en-US" w:eastAsia="zh-CN"/>
        </w:rPr>
        <w:t>工作动态</w:t>
      </w:r>
      <w:r>
        <w:rPr>
          <w:rFonts w:hint="eastAsia" w:ascii="仿宋" w:hAnsi="仿宋" w:eastAsia="仿宋" w:cs="仿宋"/>
          <w:kern w:val="0"/>
          <w:szCs w:val="32"/>
          <w:highlight w:val="none"/>
          <w:lang w:val="en-US" w:eastAsia="zh-CN"/>
        </w:rPr>
        <w:t>（</w:t>
      </w:r>
      <w:r>
        <w:rPr>
          <w:rFonts w:hint="default" w:ascii="仿宋" w:hAnsi="仿宋" w:eastAsia="仿宋" w:cs="仿宋"/>
          <w:kern w:val="0"/>
          <w:szCs w:val="32"/>
          <w:highlight w:val="none"/>
          <w:lang w:val="en-US" w:eastAsia="zh-CN"/>
        </w:rPr>
        <w:t>1条</w:t>
      </w:r>
      <w:r>
        <w:rPr>
          <w:rFonts w:hint="eastAsia" w:ascii="仿宋" w:hAnsi="仿宋" w:eastAsia="仿宋" w:cs="仿宋"/>
          <w:kern w:val="0"/>
          <w:szCs w:val="32"/>
          <w:highlight w:val="none"/>
          <w:lang w:val="en-US" w:eastAsia="zh-CN"/>
        </w:rPr>
        <w:t>）</w:t>
      </w:r>
      <w:r>
        <w:rPr>
          <w:rFonts w:hint="default" w:ascii="仿宋" w:hAnsi="仿宋" w:eastAsia="仿宋" w:cs="仿宋"/>
          <w:kern w:val="0"/>
          <w:szCs w:val="32"/>
          <w:highlight w:val="none"/>
          <w:lang w:val="en-US" w:eastAsia="zh-CN"/>
        </w:rPr>
        <w:t>，年度计划</w:t>
      </w:r>
      <w:r>
        <w:rPr>
          <w:rFonts w:hint="eastAsia" w:ascii="仿宋" w:hAnsi="仿宋" w:eastAsia="仿宋" w:cs="仿宋"/>
          <w:kern w:val="0"/>
          <w:szCs w:val="32"/>
          <w:highlight w:val="none"/>
          <w:lang w:val="en-US" w:eastAsia="zh-CN"/>
        </w:rPr>
        <w:t>（</w:t>
      </w:r>
      <w:r>
        <w:rPr>
          <w:rFonts w:hint="default" w:ascii="仿宋" w:hAnsi="仿宋" w:eastAsia="仿宋" w:cs="仿宋"/>
          <w:kern w:val="0"/>
          <w:szCs w:val="32"/>
          <w:highlight w:val="none"/>
          <w:lang w:val="en-US" w:eastAsia="zh-CN"/>
        </w:rPr>
        <w:t>1条</w:t>
      </w:r>
      <w:r>
        <w:rPr>
          <w:rFonts w:hint="eastAsia" w:ascii="仿宋" w:hAnsi="仿宋" w:eastAsia="仿宋" w:cs="仿宋"/>
          <w:kern w:val="0"/>
          <w:szCs w:val="32"/>
          <w:highlight w:val="none"/>
          <w:lang w:val="en-US" w:eastAsia="zh-CN"/>
        </w:rPr>
        <w:t>）。</w:t>
      </w:r>
      <w:r>
        <w:rPr>
          <w:rFonts w:hint="default" w:ascii="仿宋" w:hAnsi="仿宋" w:eastAsia="仿宋" w:cs="仿宋"/>
          <w:kern w:val="0"/>
          <w:szCs w:val="32"/>
          <w:highlight w:val="none"/>
          <w:lang w:val="en-US" w:eastAsia="zh-CN"/>
        </w:rPr>
        <w:t>2023年，我局没有对政府信息处理进行收费。</w:t>
      </w:r>
    </w:p>
    <w:p w14:paraId="01BD9126">
      <w:pPr>
        <w:widowControl/>
        <w:ind w:firstLine="640"/>
      </w:pPr>
      <w:r>
        <w:rPr>
          <w:rFonts w:hint="eastAsia"/>
          <w:highlight w:val="none"/>
          <w:lang w:val="en-US" w:eastAsia="zh-CN"/>
        </w:rPr>
        <w:t>根据《区人民政府办公室关于印发2023年全区人大议</w:t>
      </w:r>
      <w:r>
        <w:rPr>
          <w:rFonts w:hint="eastAsia"/>
          <w:lang w:val="en-US" w:eastAsia="zh-CN"/>
        </w:rPr>
        <w:t>案代表建议和政协建议案提案办理工作方案的通知》（</w:t>
      </w:r>
      <w:r>
        <w:rPr>
          <w:rFonts w:hint="eastAsia"/>
        </w:rPr>
        <w:t>洪政办〔2023〕2号</w:t>
      </w:r>
      <w:r>
        <w:rPr>
          <w:rFonts w:hint="eastAsia"/>
          <w:lang w:eastAsia="zh-CN"/>
        </w:rPr>
        <w:t>）</w:t>
      </w:r>
      <w:r>
        <w:rPr>
          <w:rFonts w:hint="eastAsia"/>
          <w:lang w:val="en-US" w:eastAsia="zh-CN"/>
        </w:rPr>
        <w:t>的要求，2023年</w:t>
      </w:r>
      <w:r>
        <w:rPr>
          <w:rFonts w:hint="eastAsia"/>
        </w:rPr>
        <w:t>我局承办的区人大议案、代表建议和政协建议案、委员提案共19件，其中区人大代表建议10件（主办1件、会办9件）、区政协提案（建议案）9件（主办1件、会办8件，其中2件为会后建议会办件）；2023年我局承办的市人大议案、代表建议和政协建议案、委员提案共</w:t>
      </w:r>
      <w:r>
        <w:t>7</w:t>
      </w:r>
      <w:r>
        <w:rPr>
          <w:rFonts w:hint="eastAsia"/>
        </w:rPr>
        <w:t>件，其中市人大代表建议</w:t>
      </w:r>
      <w:r>
        <w:t>2</w:t>
      </w:r>
      <w:r>
        <w:rPr>
          <w:rFonts w:hint="eastAsia"/>
        </w:rPr>
        <w:t>件（均为会办），市政协建议</w:t>
      </w:r>
      <w:r>
        <w:t>5</w:t>
      </w:r>
      <w:r>
        <w:rPr>
          <w:rFonts w:hint="eastAsia"/>
        </w:rPr>
        <w:t>件（均为会办）。</w:t>
      </w:r>
    </w:p>
    <w:p w14:paraId="31807CBF">
      <w:pPr>
        <w:ind w:firstLine="640"/>
      </w:pPr>
      <w:r>
        <w:rPr>
          <w:rFonts w:hint="eastAsia"/>
        </w:rPr>
        <w:t>我局作为议提案承办单位，将议提案办理任务纳入重要议事日程，成立了议提案办理领导小组，对于我局主办的议提案，按照“一案一专班一办理方案”的要求，分别成立办理专班，制定办理工作方案，加强办理工作组织领导，形成单位主要领导负总责，分管领导分工负责，综合科室督办，业务科室承办的工作机制，逐一明确责任人，确保议提案办理工作落到实处。</w:t>
      </w:r>
    </w:p>
    <w:p w14:paraId="5E93DFD5">
      <w:pPr>
        <w:ind w:firstLine="640"/>
        <w:rPr>
          <w:rFonts w:hint="eastAsia"/>
          <w:lang w:eastAsia="zh-CN"/>
        </w:rPr>
      </w:pPr>
      <w:r>
        <w:rPr>
          <w:rFonts w:hint="eastAsia"/>
        </w:rPr>
        <w:t>我局坚持做到思想上高度重视，态度上积极主动，行动上切实有效，程序上合理规范，时间上及早安排，全力保证办理工作质量，做到了办复率</w:t>
      </w:r>
      <w:r>
        <w:t>100%</w:t>
      </w:r>
      <w:r>
        <w:rPr>
          <w:rFonts w:hint="eastAsia"/>
        </w:rPr>
        <w:t>、见面率</w:t>
      </w:r>
      <w:r>
        <w:t>100%</w:t>
      </w:r>
      <w:r>
        <w:rPr>
          <w:rFonts w:hint="eastAsia"/>
        </w:rPr>
        <w:t>、满意率</w:t>
      </w:r>
      <w:r>
        <w:t>100%</w:t>
      </w:r>
      <w:r>
        <w:rPr>
          <w:rFonts w:hint="eastAsia"/>
          <w:lang w:eastAsia="zh-CN"/>
        </w:rPr>
        <w:t>。</w:t>
      </w:r>
    </w:p>
    <w:p w14:paraId="7C481FB1">
      <w:pPr>
        <w:widowControl/>
        <w:spacing w:line="360" w:lineRule="auto"/>
        <w:ind w:firstLine="640"/>
        <w:rPr>
          <w:rFonts w:ascii="仿宋" w:hAnsi="仿宋" w:eastAsia="仿宋" w:cs="宋体"/>
          <w:color w:val="000000"/>
          <w:kern w:val="0"/>
          <w:szCs w:val="32"/>
        </w:rPr>
      </w:pPr>
    </w:p>
    <w:p w14:paraId="53A0D664">
      <w:pPr>
        <w:widowControl/>
        <w:spacing w:line="360" w:lineRule="auto"/>
        <w:ind w:firstLine="640"/>
        <w:rPr>
          <w:rFonts w:ascii="仿宋" w:hAnsi="仿宋" w:eastAsia="仿宋" w:cs="宋体"/>
          <w:color w:val="000000"/>
          <w:kern w:val="0"/>
          <w:szCs w:val="32"/>
        </w:rPr>
      </w:pPr>
    </w:p>
    <w:p w14:paraId="71CC1B90">
      <w:pPr>
        <w:widowControl/>
        <w:spacing w:line="360" w:lineRule="auto"/>
        <w:ind w:firstLine="640"/>
        <w:jc w:val="center"/>
        <w:rPr>
          <w:rFonts w:hint="eastAsia" w:ascii="仿宋" w:hAnsi="仿宋" w:eastAsia="仿宋" w:cs="宋体"/>
          <w:color w:val="000000"/>
          <w:kern w:val="0"/>
          <w:szCs w:val="32"/>
          <w:lang w:val="en-US" w:eastAsia="zh-CN"/>
        </w:rPr>
      </w:pPr>
      <w:r>
        <w:rPr>
          <w:rFonts w:hint="eastAsia" w:ascii="仿宋" w:hAnsi="仿宋" w:eastAsia="仿宋" w:cs="宋体"/>
          <w:color w:val="000000"/>
          <w:kern w:val="0"/>
          <w:szCs w:val="32"/>
          <w:lang w:val="en-US" w:eastAsia="zh-CN"/>
        </w:rPr>
        <w:t xml:space="preserve">                  洪山区市场监督管理局</w:t>
      </w:r>
    </w:p>
    <w:p w14:paraId="23DD0D10">
      <w:pPr>
        <w:widowControl/>
        <w:spacing w:line="360" w:lineRule="auto"/>
        <w:ind w:firstLine="640"/>
        <w:jc w:val="center"/>
        <w:rPr>
          <w:rFonts w:hint="default" w:ascii="仿宋" w:hAnsi="仿宋" w:eastAsia="仿宋" w:cs="宋体"/>
          <w:color w:val="000000"/>
          <w:kern w:val="0"/>
          <w:szCs w:val="32"/>
          <w:lang w:val="en-US" w:eastAsia="zh-CN"/>
        </w:rPr>
      </w:pPr>
      <w:r>
        <w:rPr>
          <w:rFonts w:hint="eastAsia" w:ascii="仿宋" w:hAnsi="仿宋" w:eastAsia="仿宋" w:cs="宋体"/>
          <w:color w:val="000000"/>
          <w:kern w:val="0"/>
          <w:szCs w:val="32"/>
          <w:lang w:val="en-US" w:eastAsia="zh-CN"/>
        </w:rPr>
        <w:t xml:space="preserve">                  2024年1月12日</w:t>
      </w:r>
    </w:p>
    <w:p w14:paraId="11467092">
      <w:pPr>
        <w:widowControl/>
        <w:spacing w:line="360" w:lineRule="auto"/>
        <w:ind w:firstLine="640"/>
        <w:rPr>
          <w:rFonts w:ascii="仿宋" w:hAnsi="仿宋" w:eastAsia="仿宋" w:cs="宋体"/>
          <w:color w:val="000000"/>
          <w:kern w:val="0"/>
          <w:szCs w:val="32"/>
        </w:rPr>
      </w:pPr>
    </w:p>
    <w:p w14:paraId="6BDF05D9">
      <w:pPr>
        <w:widowControl/>
        <w:spacing w:line="360" w:lineRule="auto"/>
        <w:ind w:firstLine="640"/>
        <w:rPr>
          <w:rFonts w:ascii="仿宋" w:hAnsi="仿宋" w:eastAsia="仿宋" w:cs="宋体"/>
          <w:color w:val="000000"/>
          <w:kern w:val="0"/>
          <w:szCs w:val="32"/>
        </w:rPr>
      </w:pPr>
    </w:p>
    <w:p w14:paraId="0A200D88">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8CC74">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3B0FE">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DE69">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3780B">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4F74F">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D7B13">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D13A8"/>
    <w:multiLevelType w:val="singleLevel"/>
    <w:tmpl w:val="9A8D13A8"/>
    <w:lvl w:ilvl="0" w:tentative="0">
      <w:start w:val="1"/>
      <w:numFmt w:val="chineseCounting"/>
      <w:suff w:val="nothing"/>
      <w:lvlText w:val="%1、"/>
      <w:lvlJc w:val="left"/>
      <w:rPr>
        <w:rFonts w:hint="eastAsia" w:cs="Times New Roman"/>
      </w:rPr>
    </w:lvl>
  </w:abstractNum>
  <w:abstractNum w:abstractNumId="1">
    <w:nsid w:val="B5C78F72"/>
    <w:multiLevelType w:val="singleLevel"/>
    <w:tmpl w:val="B5C78F72"/>
    <w:lvl w:ilvl="0" w:tentative="0">
      <w:start w:val="6"/>
      <w:numFmt w:val="chineseCounting"/>
      <w:suff w:val="nothing"/>
      <w:lvlText w:val="%1、"/>
      <w:lvlJc w:val="left"/>
      <w:rPr>
        <w:rFonts w:hint="eastAsia"/>
      </w:rPr>
    </w:lvl>
  </w:abstractNum>
  <w:abstractNum w:abstractNumId="2">
    <w:nsid w:val="0DF77FD5"/>
    <w:multiLevelType w:val="singleLevel"/>
    <w:tmpl w:val="0DF77FD5"/>
    <w:lvl w:ilvl="0" w:tentative="0">
      <w:start w:val="4"/>
      <w:numFmt w:val="chineseCounting"/>
      <w:suff w:val="nothing"/>
      <w:lvlText w:val="(%1）"/>
      <w:lvlJc w:val="left"/>
      <w:rPr>
        <w:rFonts w:hint="eastAsia" w:cs="Times New Roman"/>
      </w:rPr>
    </w:lvl>
  </w:abstractNum>
  <w:abstractNum w:abstractNumId="3">
    <w:nsid w:val="4C803263"/>
    <w:multiLevelType w:val="singleLevel"/>
    <w:tmpl w:val="4C803263"/>
    <w:lvl w:ilvl="0" w:tentative="0">
      <w:start w:val="1"/>
      <w:numFmt w:val="chineseCounting"/>
      <w:suff w:val="nothing"/>
      <w:lvlText w:val="（%1）"/>
      <w:lvlJc w:val="left"/>
      <w:rPr>
        <w:rFonts w:hint="eastAsia"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U0MzMwZDY1OTZkY2ZjMWI0NjU0Mzc3M2EwNGQ5YmMifQ=="/>
  </w:docVars>
  <w:rsids>
    <w:rsidRoot w:val="5D34405E"/>
    <w:rsid w:val="00222AE6"/>
    <w:rsid w:val="00307822"/>
    <w:rsid w:val="00426E37"/>
    <w:rsid w:val="00482CFB"/>
    <w:rsid w:val="004E210C"/>
    <w:rsid w:val="00542963"/>
    <w:rsid w:val="00702A43"/>
    <w:rsid w:val="008018E7"/>
    <w:rsid w:val="00816543"/>
    <w:rsid w:val="00831892"/>
    <w:rsid w:val="00C5320B"/>
    <w:rsid w:val="00CE2789"/>
    <w:rsid w:val="00D36326"/>
    <w:rsid w:val="00F92CF0"/>
    <w:rsid w:val="00FD4DE6"/>
    <w:rsid w:val="02142DFF"/>
    <w:rsid w:val="024E68F9"/>
    <w:rsid w:val="03745CCC"/>
    <w:rsid w:val="048D03CE"/>
    <w:rsid w:val="04EC334C"/>
    <w:rsid w:val="05EC3CFD"/>
    <w:rsid w:val="08B03E69"/>
    <w:rsid w:val="09434CDD"/>
    <w:rsid w:val="0AB93C3C"/>
    <w:rsid w:val="0B642CE9"/>
    <w:rsid w:val="0D3D7C96"/>
    <w:rsid w:val="109E0A4B"/>
    <w:rsid w:val="11C368B1"/>
    <w:rsid w:val="132E255A"/>
    <w:rsid w:val="13AB6A60"/>
    <w:rsid w:val="152534E9"/>
    <w:rsid w:val="185D743E"/>
    <w:rsid w:val="193C682A"/>
    <w:rsid w:val="1AB8095B"/>
    <w:rsid w:val="1C9E770D"/>
    <w:rsid w:val="1E4E1D03"/>
    <w:rsid w:val="1EAF2DA2"/>
    <w:rsid w:val="20D838F9"/>
    <w:rsid w:val="21F11323"/>
    <w:rsid w:val="24C30629"/>
    <w:rsid w:val="27F966F1"/>
    <w:rsid w:val="293607E6"/>
    <w:rsid w:val="29A749BD"/>
    <w:rsid w:val="2A1E7352"/>
    <w:rsid w:val="2A994305"/>
    <w:rsid w:val="2B2A7653"/>
    <w:rsid w:val="2C3D5164"/>
    <w:rsid w:val="2E1F7F77"/>
    <w:rsid w:val="2FEF6776"/>
    <w:rsid w:val="314B0324"/>
    <w:rsid w:val="324E00CB"/>
    <w:rsid w:val="37E40B8A"/>
    <w:rsid w:val="39350C5E"/>
    <w:rsid w:val="39FE02F4"/>
    <w:rsid w:val="3A872C84"/>
    <w:rsid w:val="3BFA0AA5"/>
    <w:rsid w:val="3C04228D"/>
    <w:rsid w:val="3D6A7D83"/>
    <w:rsid w:val="3F171845"/>
    <w:rsid w:val="3F4168C2"/>
    <w:rsid w:val="4010076E"/>
    <w:rsid w:val="40A13AB1"/>
    <w:rsid w:val="414D1C8C"/>
    <w:rsid w:val="41630D72"/>
    <w:rsid w:val="42F250AD"/>
    <w:rsid w:val="4632001E"/>
    <w:rsid w:val="471274C2"/>
    <w:rsid w:val="48362D3C"/>
    <w:rsid w:val="4932271D"/>
    <w:rsid w:val="4D3D2DBF"/>
    <w:rsid w:val="4D9A50B4"/>
    <w:rsid w:val="4F806F93"/>
    <w:rsid w:val="50C11611"/>
    <w:rsid w:val="5100482F"/>
    <w:rsid w:val="51B70C8B"/>
    <w:rsid w:val="52BF774F"/>
    <w:rsid w:val="544875D0"/>
    <w:rsid w:val="545A6004"/>
    <w:rsid w:val="57030BD5"/>
    <w:rsid w:val="582B2191"/>
    <w:rsid w:val="5A7C6356"/>
    <w:rsid w:val="5D34405E"/>
    <w:rsid w:val="61734BA9"/>
    <w:rsid w:val="636B3991"/>
    <w:rsid w:val="677671A1"/>
    <w:rsid w:val="677963AC"/>
    <w:rsid w:val="678418BE"/>
    <w:rsid w:val="681542C4"/>
    <w:rsid w:val="681C1AF7"/>
    <w:rsid w:val="690B56C7"/>
    <w:rsid w:val="694C1F68"/>
    <w:rsid w:val="69E723BD"/>
    <w:rsid w:val="6A2E5B11"/>
    <w:rsid w:val="6AA32425"/>
    <w:rsid w:val="6B1A4EC6"/>
    <w:rsid w:val="6B4F5D3F"/>
    <w:rsid w:val="6B715CB5"/>
    <w:rsid w:val="6D9B26DD"/>
    <w:rsid w:val="71035A94"/>
    <w:rsid w:val="77454EB5"/>
    <w:rsid w:val="7873672C"/>
    <w:rsid w:val="78815411"/>
    <w:rsid w:val="78F9378E"/>
    <w:rsid w:val="7A2D182A"/>
    <w:rsid w:val="7B9D2AF7"/>
    <w:rsid w:val="7D6C49B3"/>
    <w:rsid w:val="7ED71E7C"/>
    <w:rsid w:val="7EFB2B3B"/>
    <w:rsid w:val="7F695915"/>
    <w:rsid w:val="7F9B73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880" w:firstLineChars="200"/>
      <w:jc w:val="both"/>
    </w:pPr>
    <w:rPr>
      <w:rFonts w:ascii="仿宋_GB2312" w:hAnsi="仿宋_GB2312" w:eastAsia="仿宋_GB2312" w:cs="Times New Roman"/>
      <w:kern w:val="2"/>
      <w:sz w:val="32"/>
      <w:szCs w:val="24"/>
      <w:lang w:val="en-US" w:eastAsia="zh-CN" w:bidi="ar-SA"/>
    </w:rPr>
  </w:style>
  <w:style w:type="paragraph" w:styleId="2">
    <w:name w:val="heading 1"/>
    <w:basedOn w:val="1"/>
    <w:next w:val="1"/>
    <w:link w:val="14"/>
    <w:autoRedefine/>
    <w:qFormat/>
    <w:uiPriority w:val="99"/>
    <w:pPr>
      <w:keepNext/>
      <w:keepLines/>
      <w:ind w:firstLine="0" w:firstLineChars="0"/>
      <w:jc w:val="center"/>
      <w:outlineLvl w:val="0"/>
    </w:pPr>
    <w:rPr>
      <w:rFonts w:ascii="方正小标宋简体" w:hAnsi="方正小标宋简体" w:eastAsia="方正小标宋简体"/>
      <w:kern w:val="44"/>
      <w:sz w:val="44"/>
    </w:rPr>
  </w:style>
  <w:style w:type="paragraph" w:styleId="3">
    <w:name w:val="heading 2"/>
    <w:basedOn w:val="1"/>
    <w:next w:val="1"/>
    <w:link w:val="15"/>
    <w:autoRedefine/>
    <w:qFormat/>
    <w:uiPriority w:val="99"/>
    <w:pPr>
      <w:keepNext/>
      <w:keepLines/>
      <w:outlineLvl w:val="1"/>
    </w:pPr>
    <w:rPr>
      <w:rFonts w:ascii="Arial" w:hAnsi="Arial" w:eastAsia="黑体"/>
    </w:rPr>
  </w:style>
  <w:style w:type="paragraph" w:styleId="4">
    <w:name w:val="heading 3"/>
    <w:basedOn w:val="1"/>
    <w:next w:val="1"/>
    <w:link w:val="16"/>
    <w:autoRedefine/>
    <w:qFormat/>
    <w:uiPriority w:val="99"/>
    <w:pPr>
      <w:keepNext/>
      <w:keepLines/>
      <w:outlineLvl w:val="2"/>
    </w:pPr>
    <w:rPr>
      <w:rFonts w:eastAsia="楷体_GB2312"/>
      <w:b/>
    </w:rPr>
  </w:style>
  <w:style w:type="paragraph" w:styleId="5">
    <w:name w:val="heading 4"/>
    <w:basedOn w:val="1"/>
    <w:next w:val="1"/>
    <w:link w:val="13"/>
    <w:autoRedefine/>
    <w:qFormat/>
    <w:uiPriority w:val="99"/>
    <w:pPr>
      <w:keepNext/>
      <w:keepLines/>
      <w:adjustRightInd w:val="0"/>
      <w:snapToGrid w:val="0"/>
      <w:outlineLvl w:val="3"/>
    </w:pPr>
    <w:rPr>
      <w:rFonts w:ascii="宋体" w:hAnsi="宋体" w:eastAsia="宋体"/>
      <w:b/>
      <w:kern w:val="0"/>
      <w:szCs w:val="20"/>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semiHidden/>
    <w:unhideWhenUsed/>
    <w:qFormat/>
    <w:uiPriority w:val="99"/>
    <w:pPr>
      <w:jc w:val="left"/>
    </w:pPr>
  </w:style>
  <w:style w:type="paragraph" w:styleId="7">
    <w:name w:val="Balloon Text"/>
    <w:basedOn w:val="1"/>
    <w:link w:val="17"/>
    <w:autoRedefine/>
    <w:semiHidden/>
    <w:qFormat/>
    <w:uiPriority w:val="99"/>
    <w:rPr>
      <w:sz w:val="18"/>
      <w:szCs w:val="18"/>
    </w:rPr>
  </w:style>
  <w:style w:type="paragraph" w:styleId="8">
    <w:name w:val="footer"/>
    <w:basedOn w:val="1"/>
    <w:link w:val="19"/>
    <w:autoRedefine/>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18"/>
    <w:autoRedefine/>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Normal (Web)"/>
    <w:basedOn w:val="1"/>
    <w:autoRedefine/>
    <w:qFormat/>
    <w:uiPriority w:val="99"/>
    <w:pPr>
      <w:spacing w:before="100" w:beforeAutospacing="1" w:after="100" w:afterAutospacing="1"/>
      <w:jc w:val="left"/>
    </w:pPr>
    <w:rPr>
      <w:kern w:val="0"/>
      <w:sz w:val="24"/>
    </w:rPr>
  </w:style>
  <w:style w:type="character" w:customStyle="1" w:styleId="13">
    <w:name w:val="标题 4 Char"/>
    <w:link w:val="5"/>
    <w:autoRedefine/>
    <w:qFormat/>
    <w:locked/>
    <w:uiPriority w:val="99"/>
    <w:rPr>
      <w:rFonts w:ascii="宋体" w:hAnsi="宋体" w:eastAsia="宋体"/>
      <w:b/>
      <w:sz w:val="32"/>
    </w:rPr>
  </w:style>
  <w:style w:type="character" w:customStyle="1" w:styleId="14">
    <w:name w:val="标题 1 Char"/>
    <w:link w:val="2"/>
    <w:autoRedefine/>
    <w:qFormat/>
    <w:uiPriority w:val="9"/>
    <w:rPr>
      <w:rFonts w:ascii="仿宋_GB2312" w:hAnsi="仿宋_GB2312" w:eastAsia="仿宋_GB2312"/>
      <w:b/>
      <w:bCs/>
      <w:kern w:val="44"/>
      <w:sz w:val="44"/>
      <w:szCs w:val="44"/>
    </w:rPr>
  </w:style>
  <w:style w:type="character" w:customStyle="1" w:styleId="15">
    <w:name w:val="标题 2 Char"/>
    <w:link w:val="3"/>
    <w:autoRedefine/>
    <w:semiHidden/>
    <w:qFormat/>
    <w:uiPriority w:val="9"/>
    <w:rPr>
      <w:rFonts w:ascii="Cambria" w:hAnsi="Cambria" w:eastAsia="宋体" w:cs="Times New Roman"/>
      <w:b/>
      <w:bCs/>
      <w:sz w:val="32"/>
      <w:szCs w:val="32"/>
    </w:rPr>
  </w:style>
  <w:style w:type="character" w:customStyle="1" w:styleId="16">
    <w:name w:val="标题 3 Char"/>
    <w:link w:val="4"/>
    <w:autoRedefine/>
    <w:semiHidden/>
    <w:qFormat/>
    <w:uiPriority w:val="9"/>
    <w:rPr>
      <w:rFonts w:ascii="仿宋_GB2312" w:hAnsi="仿宋_GB2312" w:eastAsia="仿宋_GB2312"/>
      <w:b/>
      <w:bCs/>
      <w:sz w:val="32"/>
      <w:szCs w:val="32"/>
    </w:rPr>
  </w:style>
  <w:style w:type="character" w:customStyle="1" w:styleId="17">
    <w:name w:val="批注框文本 Char"/>
    <w:link w:val="7"/>
    <w:autoRedefine/>
    <w:semiHidden/>
    <w:qFormat/>
    <w:uiPriority w:val="99"/>
    <w:rPr>
      <w:rFonts w:ascii="仿宋_GB2312" w:hAnsi="仿宋_GB2312" w:eastAsia="仿宋_GB2312"/>
      <w:sz w:val="0"/>
      <w:szCs w:val="0"/>
    </w:rPr>
  </w:style>
  <w:style w:type="character" w:customStyle="1" w:styleId="18">
    <w:name w:val="页眉 Char"/>
    <w:link w:val="9"/>
    <w:autoRedefine/>
    <w:semiHidden/>
    <w:qFormat/>
    <w:uiPriority w:val="99"/>
    <w:rPr>
      <w:rFonts w:ascii="仿宋_GB2312" w:hAnsi="仿宋_GB2312" w:eastAsia="仿宋_GB2312"/>
      <w:sz w:val="18"/>
      <w:szCs w:val="18"/>
    </w:rPr>
  </w:style>
  <w:style w:type="character" w:customStyle="1" w:styleId="19">
    <w:name w:val="页脚 Char"/>
    <w:link w:val="8"/>
    <w:autoRedefine/>
    <w:semiHidden/>
    <w:qFormat/>
    <w:uiPriority w:val="99"/>
    <w:rPr>
      <w:rFonts w:ascii="仿宋_GB2312" w:hAnsi="仿宋_GB2312"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1185</Words>
  <Characters>1237</Characters>
  <Lines>22</Lines>
  <Paragraphs>6</Paragraphs>
  <TotalTime>290</TotalTime>
  <ScaleCrop>false</ScaleCrop>
  <LinksUpToDate>false</LinksUpToDate>
  <CharactersWithSpaces>1237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2024-01-08T05:53:00Z</dcterms:created>
  <dc:creator>晶晶</dc:creator>
  <cp:lastModifiedBy>Mr.爵爷</cp:lastModifiedBy>
  <cp:lastPrinted>2024-01-12T04:41:00Z</cp:lastPrinted>
  <dcterms:modified xsi:type="dcterms:W3CDTF">2026-03-26T02:48:03Z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85D96656C82C43E9AF334F3EE2DFA360_11</vt:lpwstr>
  </property>
  <property fmtid="{D5CDD505-2E9C-101B-9397-08002B2CF9AE}" pid="4" name="KSOTemplateDocerSaveRecord">
    <vt:lpwstr>eyJoZGlkIjoiMGNkOGRiNjcwNTFjNjM0NjQ1MGU3NTljMTk4ZjBkODMiLCJ1c2VySWQiOiI1MzIwOTg1NjAifQ==</vt:lpwstr>
  </property>
</Properties>
</file>