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Style w:val="7"/>
          <w:rFonts w:hint="eastAsia" w:ascii="仿宋_GB2312" w:eastAsia="仿宋_GB2312"/>
          <w:sz w:val="36"/>
          <w:szCs w:val="36"/>
        </w:rPr>
      </w:pPr>
    </w:p>
    <w:p>
      <w:pPr>
        <w:pStyle w:val="4"/>
        <w:snapToGrid w:val="0"/>
        <w:jc w:val="center"/>
        <w:rPr>
          <w:rFonts w:hint="eastAsia" w:ascii="方正小标宋简体" w:eastAsia="方正小标宋简体"/>
          <w:b/>
          <w:sz w:val="38"/>
          <w:szCs w:val="36"/>
        </w:rPr>
      </w:pPr>
      <w:r>
        <w:rPr>
          <w:rStyle w:val="7"/>
          <w:rFonts w:hint="eastAsia" w:ascii="方正小标宋简体" w:eastAsia="方正小标宋简体"/>
          <w:b w:val="0"/>
          <w:sz w:val="38"/>
          <w:szCs w:val="36"/>
        </w:rPr>
        <w:t>（洪山区人力资源局）项目支出绩效自评报告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加强财政项目资金管理，强化支出责任，提高财政资金的使用效益，根据财政部印发的《财政支出绩效评价管理暂行办法》（财预［2011］285号）《省人民政府关于推进预算绩效管理的意见》（鄂政发［2013］9号）有关财政支出绩效目标申报的文件精神，《区财政局关于印发武汉市市直预算绩效评价管理暂行办法的通知》（武财绩[20171000号]）、《洪山区财政局关于做好2018年度区直预算绩效自评工作的通知》，我局展开对2</w:t>
      </w:r>
      <w:r>
        <w:rPr>
          <w:rFonts w:ascii="仿宋_GB2312" w:hAnsi="仿宋_GB2312" w:eastAsia="仿宋_GB2312" w:cs="仿宋_GB2312"/>
          <w:bCs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8年度项目绩效自评</w:t>
      </w:r>
      <w:r>
        <w:rPr>
          <w:rFonts w:ascii="仿宋_GB2312" w:hAnsi="仿宋_GB2312" w:eastAsia="仿宋_GB2312" w:cs="仿宋_GB2312"/>
          <w:bCs/>
          <w:sz w:val="32"/>
          <w:szCs w:val="32"/>
        </w:rPr>
        <w:t>。本次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自评</w:t>
      </w:r>
      <w:r>
        <w:rPr>
          <w:rFonts w:ascii="仿宋_GB2312" w:hAnsi="仿宋_GB2312" w:eastAsia="仿宋_GB2312" w:cs="仿宋_GB2312"/>
          <w:bCs/>
          <w:sz w:val="32"/>
          <w:szCs w:val="32"/>
        </w:rPr>
        <w:t>遵循“科学规范、公正公开、分类管理、绩效相关”的原则，根据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我局项目绩效的</w:t>
      </w:r>
      <w:r>
        <w:rPr>
          <w:rFonts w:ascii="仿宋_GB2312" w:hAnsi="仿宋_GB2312" w:eastAsia="仿宋_GB2312" w:cs="仿宋_GB2312"/>
          <w:bCs/>
          <w:sz w:val="32"/>
          <w:szCs w:val="32"/>
        </w:rPr>
        <w:t>实际情况，对资金到位、管理、分配、使用环节等进行客观、公正的评价。现将有关情况报告如下：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一.文明创建、党建（含纪检）工作专项经费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局机关党委的职能职责，局机关党委作为党的基层委员会负责局党组中心组学习，党员干部学习教育，组织党员、入党积极分子、党务干部、基层党组织书记等参加不同类别的专题培训，并负责精神文明建设及文明单位创建工作，以提高全体党员干部的素质，建设学习型党组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，以及党建及廉政建设宣传栏建设。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2、项目预算绩效目标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数量指标：完成春节、重阳节及日常重大疾病慰问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ascii="仿宋_GB2312" w:hAnsi="仿宋_GB2312" w:eastAsia="仿宋_GB2312" w:cs="仿宋_GB2312"/>
          <w:bCs/>
          <w:sz w:val="32"/>
          <w:szCs w:val="32"/>
        </w:rPr>
        <w:t>次，组织党组中心组学习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12 </w:t>
      </w:r>
      <w:r>
        <w:rPr>
          <w:rFonts w:ascii="仿宋_GB2312" w:hAnsi="仿宋_GB2312" w:eastAsia="仿宋_GB2312" w:cs="仿宋_GB2312"/>
          <w:bCs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党风廉政建设目标责任书签10份，全年廉政教育活动 4次。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党风廉政建设目标责任书</w:t>
      </w:r>
      <w:r>
        <w:rPr>
          <w:rFonts w:ascii="仿宋_GB2312" w:hAnsi="仿宋_GB2312" w:eastAsia="仿宋_GB2312" w:cs="仿宋_GB2312"/>
          <w:bCs/>
          <w:sz w:val="32"/>
          <w:szCs w:val="32"/>
        </w:rPr>
        <w:t>达标率达100%。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按时完成党组中心组学习、按时签订党风廉政建设责任书。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效益指标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经济效益指标：提高干部服务能力；加强人才队伍建设；提升日常管理水平。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社会效益指标：提高党务干部、基层党组织书记政治素质和业务能力。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可持续影响指标：提高组织人事工作水平，不断提高服务水平。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社会公众或服务对象满意度指标：提升系统干部对组织人事工作的满意度。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9.3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经费使用率达93%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文明创建、党建（含纪检）工作专项经费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绩效评价结果是：产出绩效为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49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45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ascii="仿宋_GB2312" w:hAnsi="仿宋_GB2312" w:eastAsia="仿宋_GB2312" w:cs="仿宋_GB2312"/>
          <w:bCs/>
          <w:sz w:val="32"/>
          <w:szCs w:val="32"/>
        </w:rPr>
        <w:t>分。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二.办公设备购置专项经费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2、项目预算绩效目标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完成办公室资产购置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办公资产验收合格率</w:t>
      </w:r>
      <w:r>
        <w:rPr>
          <w:rFonts w:ascii="仿宋_GB2312" w:hAnsi="仿宋_GB2312" w:eastAsia="仿宋_GB2312" w:cs="仿宋_GB2312"/>
          <w:bCs/>
          <w:sz w:val="32"/>
          <w:szCs w:val="32"/>
        </w:rPr>
        <w:t>100%。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按资产使用寿命和办公资产配制要求及时配制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效益指标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经济效益指标：提升日常管理水平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，提高工作效率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社会效益指标：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，改善工作环境，提高业务水平，加强干部职工安全感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可持续影响指标：提高组织人事工作水平，不断提高服务水平。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社会公众或服务对象满意度指标：提升系统干部对组织人事工作的满意度。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28.86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经费使用率达192.4%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办公设备购置专项经费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绩效评价结果是：产出绩效为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40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45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85</w:t>
      </w:r>
      <w:r>
        <w:rPr>
          <w:rFonts w:ascii="仿宋_GB2312" w:hAnsi="仿宋_GB2312" w:eastAsia="仿宋_GB2312" w:cs="仿宋_GB2312"/>
          <w:bCs/>
          <w:sz w:val="32"/>
          <w:szCs w:val="32"/>
        </w:rPr>
        <w:t>分。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三.聘请法律顾问经费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洪政办[2015]22号文件，各机关单位必须聘请法律顾问，聘请常年法律顾问可以提高依法行政和依法监管能力，保证人力资源、劳动就业、劳动维权方面工作的合法性和合理性.法律顾问可提供一些法律问题的咨询，对合同合法性进行审核，避免不必要的法律纠纷。人力资源局工作职责中涉及的法律相关问题较多，聘请法律顾问非常用关键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2、项目预算绩效目标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left="525" w:leftChars="250"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解决劳动纠纷190 起，提供法律咨询服务   次。法律顾问为听证、行政诉讼2次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法律顾问参与听证、行政诉讼率</w:t>
      </w:r>
      <w:r>
        <w:rPr>
          <w:rFonts w:ascii="仿宋_GB2312" w:hAnsi="仿宋_GB2312" w:eastAsia="仿宋_GB2312" w:cs="仿宋_GB2312"/>
          <w:bCs/>
          <w:sz w:val="32"/>
          <w:szCs w:val="32"/>
        </w:rPr>
        <w:t>100%。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及时提供法律方面咨询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效益指标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减少了不必要法律纠纷赔偿。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社会效益指标：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减少了不必要的法律纠纷，对构建和谐社会、倡导依法行政有重要作用，对于树立政府为民诚信形象有促进作用。2、法律顾问为听证、行政诉讼提供了重要意见，解决了经济和社会发展中的诸多涉法问题。3、减少了行政决策的盲目性、随意性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减少了行政决策的盲目性、随意性。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树立政府为民诚信形象让公众满意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经费使用率达100%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聘请法律顾问经费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绩效评价结果是：产出绩效为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四.公共人事管理工作经费</w:t>
      </w:r>
    </w:p>
    <w:p>
      <w:pPr>
        <w:spacing w:line="600" w:lineRule="exact"/>
        <w:ind w:firstLine="659" w:firstLineChars="20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①依据《武汉市事业单位公开招聘工作人员实施办法》（武人社发[2014]69号、《湖北省人事考试考务经费支出管理实施办法（实行）》（鄂人社办发[2017]4号）及当年市人社局发事业单位招聘相关文件；②依据《中华人民共和国公务员法》及当年公务员招录相关文件要求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.①事业单位人事管理科职能之一：组织事业单位工作人员招聘工作，负责事业单位人才引进工作；②公务员管理科职能之一：负责全区公务员队伍建设和综合管理，含公务员招录计划、录用、调任、职位交流、培训等工作。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3.现实意义：①为各单位招聘人才做好辅助工作；②做好全区公务员队伍建设和综合管理工作。用于事业单位公开招聘工作人员面试、用于事业单位公开招聘工作人员外出考核、用于公务员招录工作人员外出考察。</w:t>
      </w:r>
    </w:p>
    <w:p>
      <w:pPr>
        <w:spacing w:line="600" w:lineRule="exact"/>
        <w:ind w:firstLine="659" w:firstLineChars="20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项目预算绩效目标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区招录公务员（参公人员）24人，事业单位公开招聘工作人员58人，完成行政机关（参公单位）科级及以下岗位责任书签订902份。积极推进履职尽责动态化管理机制和讲评工作常态化。组织公务员培训2次，新录用军转干部培训1次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质量指标：事业单位公开招聘试卷无泄密事件，试卷无明显错误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时效指标：事业单位公开招聘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，公务员培训2次，新录用军转干部培训1次。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成本指标：招聘考试费达到5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ascii="仿宋_GB2312" w:hAnsi="仿宋_GB2312" w:eastAsia="仿宋_GB2312" w:cs="仿宋_GB2312"/>
          <w:bCs/>
          <w:sz w:val="32"/>
          <w:szCs w:val="32"/>
        </w:rPr>
        <w:t>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经济效益指标：促进武汉市经济和社会人才队伍发展建设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社会效益指标：完善人才结构充实专业队伍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社会公众或服务对象满意度指标：服务各招聘事业单位满意度95%以上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34.13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31.97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经费使用率达93.67%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，公共人事管理工作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49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49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98分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五.企业军转和自主择业干部慰问费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全区企业军转干部维稳，重大节日、两会期间维稳接待住宿、餐费等；对企业军转干部“春节”、“八一”慰问物资及慰问金。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慰问企业</w:t>
      </w:r>
      <w:r>
        <w:rPr>
          <w:rFonts w:ascii="仿宋_GB2312" w:hAnsi="仿宋_GB2312" w:eastAsia="仿宋_GB2312" w:cs="仿宋_GB2312"/>
          <w:bCs/>
          <w:sz w:val="32"/>
          <w:szCs w:val="32"/>
        </w:rPr>
        <w:t>军队转业干部。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质量指标：解决自主择业军队干部的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慰问和两会服务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时效指标：全年。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成本指标：按本年度编报口径编制，本年度我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局企业</w:t>
      </w:r>
      <w:r>
        <w:rPr>
          <w:rFonts w:ascii="仿宋_GB2312" w:hAnsi="仿宋_GB2312" w:eastAsia="仿宋_GB2312" w:cs="仿宋_GB2312"/>
          <w:bCs/>
          <w:sz w:val="32"/>
          <w:szCs w:val="32"/>
        </w:rPr>
        <w:t>自主择业军转干部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慰问</w:t>
      </w:r>
      <w:r>
        <w:rPr>
          <w:rFonts w:ascii="仿宋_GB2312" w:hAnsi="仿宋_GB2312" w:eastAsia="仿宋_GB2312" w:cs="仿宋_GB2312"/>
          <w:bCs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21.7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经济效益指标：通过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慰问和服务</w:t>
      </w:r>
      <w:r>
        <w:rPr>
          <w:rFonts w:ascii="仿宋_GB2312" w:hAnsi="仿宋_GB2312" w:eastAsia="仿宋_GB2312" w:cs="仿宋_GB2312"/>
          <w:bCs/>
          <w:sz w:val="32"/>
          <w:szCs w:val="32"/>
        </w:rPr>
        <w:t>，促进自主择业军队转业干部更好地投身经济社会建设。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社会效益指标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：落实</w:t>
      </w:r>
      <w:r>
        <w:rPr>
          <w:rFonts w:ascii="仿宋_GB2312" w:hAnsi="仿宋_GB2312" w:eastAsia="仿宋_GB2312" w:cs="仿宋_GB2312"/>
          <w:bCs/>
          <w:sz w:val="32"/>
          <w:szCs w:val="32"/>
        </w:rPr>
        <w:t>自主择业安置制度，减轻军转干部计划安置的压力。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</w:t>
      </w:r>
      <w:r>
        <w:rPr>
          <w:rFonts w:ascii="仿宋_GB2312" w:hAnsi="仿宋_GB2312" w:eastAsia="仿宋_GB2312" w:cs="仿宋_GB2312"/>
          <w:bCs/>
          <w:sz w:val="32"/>
          <w:szCs w:val="32"/>
        </w:rPr>
        <w:t>环境效益指标：通过良好的基本保障，促进自主择业军队转业干部队伍和和谐稳定，促进和谐武汉、幸福武汉建设。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21.7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21.7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经费使用率达100%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，企业军转和自主择业干部慰问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六.劳动保障维权经费</w:t>
      </w:r>
    </w:p>
    <w:p>
      <w:pPr>
        <w:spacing w:line="600" w:lineRule="exact"/>
        <w:ind w:firstLine="659" w:firstLineChars="20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1.项目的政策依据：《劳动保障监察条例》（中华人民共和国国务院令第423号）、《中华人民共和国劳动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争议调解仲裁法》第五十三条、2018年专业性劳动人事争议调解工作综治（平安建设）考核评价实施细则、鄂人社发[2016]9号文件、鄂政办发[2008]50号文、《劳动人事仲裁组织规则》第十条。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2.项目实施的现实意义，即项目聚焦于解决哪些现实问题；充分发挥仲裁调解中心力量，快速有效地解决劳动纠纷，充分发挥劳动监察法律宣传及维权作用，为广大企业和劳动者维护自身权益。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指导16家事业单位主管部门成立了内部劳动人事调解组织，在12家大中型企业、行业商会（协会）挂牌成立劳动人事争议调解中心，受理劳动争议纠纷978起，为945名劳动者挽回经济损失1920万元。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劳动人事争议仲裁案件、劳动保障监察举报投诉案件法定期限内结案率均达96%。 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时效指标：全年。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成本指标：按本年度编报口径编制，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ascii="仿宋_GB2312" w:hAnsi="仿宋_GB2312" w:eastAsia="仿宋_GB2312" w:cs="仿宋_GB2312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21.7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受理劳动争议纠纷978起，为945名劳动者挽回经济损失（工资、加班费等）1920万元。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可持续影响：构建和谐稳定的劳动关系；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社会公众或服务对象满意度：人事争议仲裁工作开展有序，至少95%的劳资双方能够满意受益。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39.6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30.45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经费使用率达76.89%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，劳动保障维权经费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45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45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90分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七.公共就业和人才服务经费</w:t>
      </w:r>
    </w:p>
    <w:p>
      <w:pPr>
        <w:spacing w:line="600" w:lineRule="exact"/>
        <w:ind w:firstLine="659" w:firstLineChars="205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主要包括：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协助区招才局做好“招才引智”相关工作。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2.“洪山大学之城”-大学生就业创业；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3.社区公共服务干事选聘及业务培训；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4.主办百万大学生留汉就业创业专场招聘会；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5.职工技能培训工作；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6.维护十五分钟就业圈、微信公众号运营；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城镇新增就业、帮扶就业困难人员就业、新增劳动者创业、就业再就业培训。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left="420" w:leftChars="200"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城镇新就业21095人，失业人员再就业1605人，帮扶就业困难人员就业1201人，新增劳动者创业2221人，创业带动就业7239人，就业再就业培训1075人。 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2、完成300名专业技术人员中高级职称年度申报工作，其中：中级246人，高级54人。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3、举办“送岗进校园”活动72场，完成目标30场的240%。举办22场公益性招聘会，完成目标10场的220%。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4、“十五分钟就业圈” 公众号自上线至今，关注量已超5000人。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1.校园招聘会完成目标的220%</w:t>
      </w:r>
    </w:p>
    <w:p>
      <w:pPr>
        <w:spacing w:line="600" w:lineRule="exact"/>
        <w:ind w:firstLine="656" w:firstLineChars="20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2.完成专业职称申报工作完成目标的100%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新增就业完成目标的100.45%；失业人员再就业完成目标的100%；帮扶就业困难人员完成目标的150%；新增劳动者创业完成目标的123%；创业带动就业的121%；就业再就业培训完成目标1000人的108%；城镇登记失业率3.5%以内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时效指标：全年。</w:t>
      </w:r>
    </w:p>
    <w:p>
      <w:pPr>
        <w:spacing w:line="600" w:lineRule="exact"/>
        <w:ind w:left="105" w:leftChars="50"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成本指标：按本年度编报口径编制，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ascii="仿宋_GB2312" w:hAnsi="仿宋_GB2312" w:eastAsia="仿宋_GB2312" w:cs="仿宋_GB2312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80.13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经济效益指标：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提升本区人才质量，从而提升经济发展速度。</w:t>
      </w:r>
    </w:p>
    <w:p>
      <w:pPr>
        <w:widowControl/>
        <w:spacing w:line="600" w:lineRule="exact"/>
        <w:ind w:firstLine="656" w:firstLineChars="205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大力营造尊重技能、技能成才的社会氛围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社会公众或服务对象满意度：维护社会稳定，服务对象基本满意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82万</w:t>
      </w:r>
      <w:r>
        <w:rPr>
          <w:rFonts w:ascii="仿宋_GB2312" w:hAnsi="仿宋_GB2312" w:eastAsia="仿宋_GB2312" w:cs="仿宋_GB2312"/>
          <w:bCs/>
          <w:sz w:val="32"/>
          <w:szCs w:val="32"/>
        </w:rPr>
        <w:t>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80.13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经费使用率达97.72%。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，劳动保障维权经费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48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48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96分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八.年轻干部（外地高校）专题培训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区级领导批准，深入推进实施“大学+”发展战略，进一步开拓干部视野思维，提升干部创新意识和区域发展综合素质，中共洪山区委组织部、洪山区招商局、洪山区委党校和我局联合主办，赴苏州开展“双招双引、产业升级”专题研修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全年共主办和协办各类培训班6</w:t>
      </w:r>
      <w:r>
        <w:rPr>
          <w:rFonts w:hint="eastAsia" w:cs="仿宋_GB2312"/>
          <w:sz w:val="32"/>
          <w:szCs w:val="32"/>
        </w:rPr>
        <w:t>期，参训学员达300余人次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质量指标：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参训干部综合素质提升明显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成本指标：按本年度编报口径编制，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ascii="仿宋_GB2312" w:hAnsi="仿宋_GB2312" w:eastAsia="仿宋_GB2312" w:cs="仿宋_GB2312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可持续影响：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开拓干部视野思维，提升干部创新意识和区域发展综合素质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社会公众或服务对象满意度：维护社会稳定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万元，项目资金来源于区财政，项目实际支出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经费使用率达100%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</w:t>
      </w:r>
      <w:r>
        <w:rPr>
          <w:rFonts w:ascii="仿宋_GB2312" w:hAnsi="仿宋_GB2312" w:eastAsia="仿宋_GB2312" w:cs="仿宋_GB2312"/>
          <w:bCs/>
          <w:sz w:val="32"/>
          <w:szCs w:val="32"/>
        </w:rPr>
        <w:t>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，劳动保障维权经费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48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分，效益绩效为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48</w:t>
      </w:r>
      <w:r>
        <w:rPr>
          <w:rFonts w:ascii="仿宋_GB2312" w:hAnsi="仿宋_GB2312" w:eastAsia="仿宋_GB2312" w:cs="仿宋_GB2312"/>
          <w:bCs/>
          <w:sz w:val="32"/>
          <w:szCs w:val="32"/>
        </w:rPr>
        <w:t>分，总绩效为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96分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思源黑体 CN Medium" w:hAnsi="思源黑体 CN Medium" w:eastAsia="思源黑体 CN Medium" w:cs="仿宋_GB2312"/>
          <w:bCs/>
          <w:sz w:val="32"/>
          <w:szCs w:val="32"/>
        </w:rPr>
      </w:pPr>
      <w:r>
        <w:rPr>
          <w:rFonts w:hint="eastAsia" w:ascii="思源黑体 CN Medium" w:hAnsi="思源黑体 CN Medium" w:eastAsia="思源黑体 CN Medium" w:cs="仿宋_GB2312"/>
          <w:bCs/>
          <w:sz w:val="32"/>
          <w:szCs w:val="32"/>
        </w:rPr>
        <w:t>九．聘用人员</w:t>
      </w:r>
      <w:r>
        <w:rPr>
          <w:rFonts w:ascii="思源黑体 CN Medium" w:hAnsi="思源黑体 CN Medium" w:eastAsia="思源黑体 CN Medium" w:cs="仿宋_GB2312"/>
          <w:bCs/>
          <w:sz w:val="32"/>
          <w:szCs w:val="32"/>
        </w:rPr>
        <w:t>购买</w:t>
      </w:r>
      <w:r>
        <w:rPr>
          <w:rFonts w:hint="eastAsia" w:ascii="思源黑体 CN Medium" w:hAnsi="思源黑体 CN Medium" w:eastAsia="思源黑体 CN Medium" w:cs="仿宋_GB2312"/>
          <w:bCs/>
          <w:sz w:val="32"/>
          <w:szCs w:val="32"/>
        </w:rPr>
        <w:t>劳务</w:t>
      </w:r>
      <w:r>
        <w:rPr>
          <w:rFonts w:ascii="思源黑体 CN Medium" w:hAnsi="思源黑体 CN Medium" w:eastAsia="思源黑体 CN Medium" w:cs="仿宋_GB2312"/>
          <w:bCs/>
          <w:sz w:val="32"/>
          <w:szCs w:val="32"/>
        </w:rPr>
        <w:t>支出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1、项目基本情况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根据实际工作的需要，该项目主要用于局机关临时聘用保安、保洁以及其他临时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后勤服务</w:t>
      </w:r>
      <w:r>
        <w:rPr>
          <w:rFonts w:ascii="仿宋_GB2312" w:hAnsi="仿宋_GB2312" w:eastAsia="仿宋_GB2312" w:cs="仿宋_GB2312"/>
          <w:bCs/>
          <w:sz w:val="32"/>
          <w:szCs w:val="32"/>
        </w:rPr>
        <w:t>工资、福利和社保缴费等。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</w:t>
      </w:r>
      <w:r>
        <w:rPr>
          <w:rFonts w:ascii="仿宋_GB2312" w:hAnsi="仿宋_GB2312" w:eastAsia="仿宋_GB2312" w:cs="仿宋_GB2312"/>
          <w:bCs/>
          <w:sz w:val="32"/>
          <w:szCs w:val="32"/>
        </w:rPr>
        <w:t>项目预算绩效目标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（1）产出指标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数量指标：工资发放率100.00%；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时效指标：每月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ascii="仿宋_GB2312" w:hAnsi="仿宋_GB2312" w:eastAsia="仿宋_GB2312" w:cs="仿宋_GB2312"/>
          <w:bCs/>
          <w:sz w:val="32"/>
          <w:szCs w:val="32"/>
        </w:rPr>
        <w:t>日前。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3、经费来源和使用情况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项目资金预算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万元，项目实际支出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35</w:t>
      </w:r>
      <w:r>
        <w:rPr>
          <w:rFonts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4、绩效目标完成情况分析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（1）产出目标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发放率100%，按时发放，无错发、误发。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5、得分情况</w:t>
      </w:r>
    </w:p>
    <w:p>
      <w:pPr>
        <w:spacing w:line="600" w:lineRule="exact"/>
        <w:ind w:firstLine="656" w:firstLineChars="205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根据本次评价指标体系测算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，聘用人员劳务费经费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结果是：产出绩效为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lZGM0Y2JkM2RjYTI1MmFlYjg0NjJmN2Y4MDE5ZWQifQ=="/>
  </w:docVars>
  <w:rsids>
    <w:rsidRoot w:val="00024858"/>
    <w:rsid w:val="00015701"/>
    <w:rsid w:val="00024858"/>
    <w:rsid w:val="00031042"/>
    <w:rsid w:val="00080AD5"/>
    <w:rsid w:val="000E3555"/>
    <w:rsid w:val="000F165D"/>
    <w:rsid w:val="00142963"/>
    <w:rsid w:val="002B6932"/>
    <w:rsid w:val="002B7C6A"/>
    <w:rsid w:val="002F18DA"/>
    <w:rsid w:val="002F7715"/>
    <w:rsid w:val="003603C6"/>
    <w:rsid w:val="003C3453"/>
    <w:rsid w:val="003E230F"/>
    <w:rsid w:val="003E2D96"/>
    <w:rsid w:val="00446839"/>
    <w:rsid w:val="004F0DDD"/>
    <w:rsid w:val="004F5C6A"/>
    <w:rsid w:val="00587C57"/>
    <w:rsid w:val="00607F53"/>
    <w:rsid w:val="00622FE9"/>
    <w:rsid w:val="007620DE"/>
    <w:rsid w:val="00807289"/>
    <w:rsid w:val="00887F5B"/>
    <w:rsid w:val="0089533D"/>
    <w:rsid w:val="00901DB8"/>
    <w:rsid w:val="0091221A"/>
    <w:rsid w:val="00974B50"/>
    <w:rsid w:val="00A95A7D"/>
    <w:rsid w:val="00B14562"/>
    <w:rsid w:val="00C52B9F"/>
    <w:rsid w:val="00C63CBF"/>
    <w:rsid w:val="00C763C4"/>
    <w:rsid w:val="00C77E24"/>
    <w:rsid w:val="00C93D39"/>
    <w:rsid w:val="00CA1DCB"/>
    <w:rsid w:val="00D65AD1"/>
    <w:rsid w:val="00D919FB"/>
    <w:rsid w:val="00DC1D94"/>
    <w:rsid w:val="00DE2E3E"/>
    <w:rsid w:val="00DF6D74"/>
    <w:rsid w:val="00E92530"/>
    <w:rsid w:val="00EB2217"/>
    <w:rsid w:val="00EC1EB8"/>
    <w:rsid w:val="00F01662"/>
    <w:rsid w:val="00FA62C0"/>
    <w:rsid w:val="02C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F28451-D192-4FFF-AA59-BFD6C7F7E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793</Words>
  <Characters>4523</Characters>
  <Lines>37</Lines>
  <Paragraphs>10</Paragraphs>
  <TotalTime>214</TotalTime>
  <ScaleCrop>false</ScaleCrop>
  <LinksUpToDate>false</LinksUpToDate>
  <CharactersWithSpaces>5306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2019-05-30T04:58:00Z</dcterms:created>
  <dc:creator>Administrator</dc:creator>
  <cp:lastModifiedBy>dudu</cp:lastModifiedBy>
  <dcterms:modified xsi:type="dcterms:W3CDTF">2024-02-05T07:08:04Z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FEB720F1941D4EF1AC1F02DAE982C484_12</vt:lpwstr>
  </property>
</Properties>
</file>