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36"/>
          <w:szCs w:val="36"/>
          <w:lang w:eastAsia="zh-CN"/>
        </w:rPr>
      </w:pPr>
      <w:r>
        <w:rPr>
          <w:rFonts w:hint="eastAsia" w:asciiTheme="majorEastAsia" w:hAnsiTheme="majorEastAsia" w:eastAsiaTheme="majorEastAsia" w:cstheme="majorEastAsia"/>
          <w:b/>
          <w:bCs/>
          <w:sz w:val="36"/>
          <w:szCs w:val="36"/>
          <w:lang w:val="en-US" w:eastAsia="zh-CN"/>
        </w:rPr>
        <w:t>洪山区司法局2016年</w:t>
      </w:r>
      <w:r>
        <w:rPr>
          <w:rFonts w:hint="eastAsia" w:asciiTheme="majorEastAsia" w:hAnsiTheme="majorEastAsia" w:eastAsiaTheme="majorEastAsia" w:cstheme="majorEastAsia"/>
          <w:b/>
          <w:bCs/>
          <w:sz w:val="36"/>
          <w:szCs w:val="36"/>
          <w:lang w:eastAsia="zh-CN"/>
        </w:rPr>
        <w:t>上级各项目标任务分</w:t>
      </w:r>
      <w:bookmarkStart w:id="0" w:name="_GoBack"/>
      <w:bookmarkEnd w:id="0"/>
      <w:r>
        <w:rPr>
          <w:rFonts w:hint="eastAsia" w:asciiTheme="majorEastAsia" w:hAnsiTheme="majorEastAsia" w:eastAsiaTheme="majorEastAsia" w:cstheme="majorEastAsia"/>
          <w:b/>
          <w:bCs/>
          <w:sz w:val="36"/>
          <w:szCs w:val="36"/>
          <w:lang w:eastAsia="zh-CN"/>
        </w:rPr>
        <w:t>解汇表</w:t>
      </w:r>
    </w:p>
    <w:p>
      <w:pPr>
        <w:keepNext w:val="0"/>
        <w:keepLines w:val="0"/>
        <w:pageBreakBefore w:val="0"/>
        <w:widowControl w:val="0"/>
        <w:kinsoku/>
        <w:wordWrap/>
        <w:overflowPunct/>
        <w:topLinePunct w:val="0"/>
        <w:autoSpaceDE/>
        <w:autoSpaceDN/>
        <w:bidi w:val="0"/>
        <w:adjustRightInd/>
        <w:snapToGrid/>
        <w:spacing w:line="240" w:lineRule="auto"/>
        <w:ind w:left="-420" w:leftChars="-200" w:right="-224" w:rightChars="-107" w:firstLine="0" w:firstLineChars="0"/>
        <w:jc w:val="both"/>
        <w:textAlignment w:val="auto"/>
        <w:outlineLvl w:val="9"/>
        <w:rPr>
          <w:rFonts w:hint="eastAsia" w:asciiTheme="majorEastAsia" w:hAnsiTheme="majorEastAsia" w:eastAsiaTheme="majorEastAsia" w:cstheme="majorEastAsia"/>
          <w:b/>
          <w:bCs/>
          <w:sz w:val="36"/>
          <w:szCs w:val="36"/>
          <w:lang w:eastAsia="zh-CN"/>
        </w:rPr>
      </w:pPr>
      <w:r>
        <w:rPr>
          <w:rFonts w:hint="eastAsia"/>
          <w:lang w:eastAsia="zh-CN"/>
        </w:rPr>
        <w:t>说明：该汇总表中共</w:t>
      </w:r>
      <w:r>
        <w:rPr>
          <w:rFonts w:hint="eastAsia"/>
          <w:lang w:val="en-US" w:eastAsia="zh-CN"/>
        </w:rPr>
        <w:t>32项目标任务，分别来源于5个上级目标任务分解方案，其中“</w:t>
      </w:r>
      <w:r>
        <w:rPr>
          <w:rFonts w:hint="eastAsia" w:ascii="宋体" w:hAnsi="宋体" w:eastAsia="宋体" w:cs="宋体"/>
          <w:lang w:val="en-US" w:eastAsia="zh-CN"/>
        </w:rPr>
        <w:t>■”表示目标来源于市局2016年工作目标责任书，</w:t>
      </w:r>
      <w:r>
        <w:rPr>
          <w:rFonts w:hint="eastAsia"/>
          <w:lang w:val="en-US" w:eastAsia="zh-CN"/>
        </w:rPr>
        <w:t>“</w:t>
      </w:r>
      <w:r>
        <w:rPr>
          <w:rFonts w:hint="eastAsia" w:ascii="宋体" w:hAnsi="宋体" w:eastAsia="宋体" w:cs="宋体"/>
          <w:lang w:val="en-US" w:eastAsia="zh-CN"/>
        </w:rPr>
        <w:t>★</w:t>
      </w:r>
      <w:r>
        <w:rPr>
          <w:rFonts w:hint="eastAsia"/>
          <w:lang w:val="en-US" w:eastAsia="zh-CN"/>
        </w:rPr>
        <w:t>”表示目标来源于洪山区绩效管理目标，“</w:t>
      </w:r>
      <w:r>
        <w:rPr>
          <w:rFonts w:hint="eastAsia" w:ascii="宋体" w:hAnsi="宋体" w:eastAsia="宋体" w:cs="宋体"/>
          <w:lang w:val="en-US" w:eastAsia="zh-CN"/>
        </w:rPr>
        <w:t>●</w:t>
      </w:r>
      <w:r>
        <w:rPr>
          <w:rFonts w:hint="eastAsia"/>
          <w:lang w:val="en-US" w:eastAsia="zh-CN"/>
        </w:rPr>
        <w:t>”表示目标来源于区委办、区政府办印发《&lt;中共洪山区委关于制定全区国民经济和社会发展第十三个五年规划的建议&gt;确定的目标任务2016年分解方案》的通知（洪办文〔2016〕5号），“</w:t>
      </w:r>
      <w:r>
        <w:rPr>
          <w:rFonts w:hint="eastAsia" w:ascii="宋体" w:hAnsi="宋体" w:eastAsia="宋体" w:cs="宋体"/>
          <w:lang w:val="en-US" w:eastAsia="zh-CN"/>
        </w:rPr>
        <w:t>◆</w:t>
      </w:r>
      <w:r>
        <w:rPr>
          <w:rFonts w:hint="eastAsia"/>
          <w:lang w:val="en-US" w:eastAsia="zh-CN"/>
        </w:rPr>
        <w:t>”表示目标来源于洪山区全面深化改革领导小组2016年工作要点暨责任分解方案（区委常委会第十届〔2016〕27号），“</w:t>
      </w:r>
      <w:r>
        <w:rPr>
          <w:rFonts w:hint="eastAsia" w:ascii="宋体" w:hAnsi="宋体" w:eastAsia="宋体" w:cs="宋体"/>
          <w:lang w:val="en-US" w:eastAsia="zh-CN"/>
        </w:rPr>
        <w:t>▲</w:t>
      </w:r>
      <w:r>
        <w:rPr>
          <w:rFonts w:hint="eastAsia"/>
          <w:lang w:val="en-US" w:eastAsia="zh-CN"/>
        </w:rPr>
        <w:t>”表示目标来源于区政府办关于印发2016年政府工作报告确定的主要目标任务责任分解方案的通知（洪政办〔2016〕1号）。</w:t>
      </w:r>
    </w:p>
    <w:tbl>
      <w:tblPr>
        <w:tblStyle w:val="4"/>
        <w:tblW w:w="1071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3"/>
        <w:gridCol w:w="5561"/>
        <w:gridCol w:w="1189"/>
        <w:gridCol w:w="1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2723" w:type="dxa"/>
            <w:vAlign w:val="center"/>
          </w:tcPr>
          <w:p>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rPr>
                <w:rFonts w:hint="eastAsia" w:ascii="仿宋_GB2312" w:hAnsi="仿宋_GB2312" w:eastAsia="仿宋_GB2312" w:cs="仿宋_GB2312"/>
                <w:b/>
                <w:bCs/>
                <w:sz w:val="24"/>
                <w:szCs w:val="24"/>
                <w:vertAlign w:val="baseline"/>
                <w:lang w:eastAsia="zh-CN"/>
              </w:rPr>
            </w:pPr>
            <w:r>
              <w:rPr>
                <w:rFonts w:hint="eastAsia" w:ascii="仿宋_GB2312" w:hAnsi="仿宋_GB2312" w:eastAsia="仿宋_GB2312" w:cs="仿宋_GB2312"/>
                <w:b/>
                <w:bCs/>
                <w:sz w:val="24"/>
                <w:szCs w:val="24"/>
                <w:vertAlign w:val="baseline"/>
                <w:lang w:eastAsia="zh-CN"/>
              </w:rPr>
              <w:t>指标项目</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vertAlign w:val="baseline"/>
                <w:lang w:eastAsia="zh-CN"/>
              </w:rPr>
              <w:t>具体目标任务</w:t>
            </w:r>
          </w:p>
        </w:tc>
        <w:tc>
          <w:tcPr>
            <w:tcW w:w="1189" w:type="dxa"/>
            <w:vAlign w:val="center"/>
          </w:tcPr>
          <w:p>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rPr>
                <w:rFonts w:hint="eastAsia" w:ascii="仿宋_GB2312" w:hAnsi="仿宋_GB2312" w:eastAsia="仿宋_GB2312" w:cs="仿宋_GB2312"/>
                <w:b/>
                <w:bCs/>
                <w:sz w:val="24"/>
                <w:szCs w:val="24"/>
                <w:vertAlign w:val="baseline"/>
                <w:lang w:eastAsia="zh-CN"/>
              </w:rPr>
            </w:pPr>
            <w:r>
              <w:rPr>
                <w:rFonts w:hint="eastAsia" w:ascii="仿宋_GB2312" w:hAnsi="仿宋_GB2312" w:eastAsia="仿宋_GB2312" w:cs="仿宋_GB2312"/>
                <w:b/>
                <w:bCs/>
                <w:sz w:val="24"/>
                <w:szCs w:val="24"/>
                <w:vertAlign w:val="baseline"/>
                <w:lang w:eastAsia="zh-CN"/>
              </w:rPr>
              <w:t>责任部门</w:t>
            </w:r>
          </w:p>
        </w:tc>
        <w:tc>
          <w:tcPr>
            <w:tcW w:w="1238" w:type="dxa"/>
            <w:vAlign w:val="center"/>
          </w:tcPr>
          <w:p>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rPr>
                <w:rFonts w:hint="eastAsia" w:ascii="仿宋_GB2312" w:hAnsi="仿宋_GB2312" w:eastAsia="仿宋_GB2312" w:cs="仿宋_GB2312"/>
                <w:b/>
                <w:bCs/>
                <w:sz w:val="24"/>
                <w:szCs w:val="24"/>
                <w:vertAlign w:val="baseline"/>
                <w:lang w:eastAsia="zh-CN"/>
              </w:rPr>
            </w:pPr>
            <w:r>
              <w:rPr>
                <w:rFonts w:hint="eastAsia" w:ascii="仿宋_GB2312" w:hAnsi="仿宋_GB2312" w:eastAsia="仿宋_GB2312" w:cs="仿宋_GB2312"/>
                <w:b/>
                <w:bCs/>
                <w:sz w:val="24"/>
                <w:szCs w:val="24"/>
                <w:vertAlign w:val="baseline"/>
                <w:lang w:eastAsia="zh-CN"/>
              </w:rPr>
              <w:t>完成时限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jc w:val="center"/>
        </w:trPr>
        <w:tc>
          <w:tcPr>
            <w:tcW w:w="2723"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val="en-US" w:eastAsia="zh-CN"/>
              </w:rPr>
            </w:pPr>
            <w:r>
              <w:rPr>
                <w:rFonts w:hint="eastAsia" w:ascii="宋体" w:hAnsi="宋体" w:eastAsia="宋体" w:cs="宋体"/>
                <w:sz w:val="24"/>
                <w:szCs w:val="24"/>
                <w:lang w:val="en-US" w:eastAsia="zh-CN"/>
              </w:rPr>
              <w:t>■</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color w:val="000000"/>
                <w:sz w:val="24"/>
                <w:szCs w:val="24"/>
                <w:lang w:val="en-US" w:eastAsia="zh-CN"/>
              </w:rPr>
              <w:t>1、完善公共法律服务机制，健全区、街（乡）、社区（村）三级公共法律服务网络，落实公共法律服务体系建设经费保障，</w:t>
            </w:r>
            <w:r>
              <w:rPr>
                <w:rFonts w:hint="eastAsia" w:ascii="仿宋_GB2312" w:hAnsi="仿宋_GB2312" w:eastAsia="仿宋_GB2312" w:cs="仿宋_GB2312"/>
                <w:color w:val="000000"/>
                <w:sz w:val="24"/>
                <w:szCs w:val="24"/>
                <w:lang w:eastAsia="zh-CN"/>
              </w:rPr>
              <w:t>打造面向基层、面向群众的公共法律服务平台。</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1、加强普法宣传、人民调解、法律援助工作指导，搭建集司法行政职能为一体的一站式公共法律服务中心，</w:t>
            </w:r>
            <w:r>
              <w:rPr>
                <w:rFonts w:hint="eastAsia" w:ascii="仿宋_GB2312" w:hAnsi="仿宋_GB2312" w:eastAsia="仿宋_GB2312" w:cs="仿宋_GB2312"/>
                <w:color w:val="000000"/>
                <w:sz w:val="24"/>
                <w:szCs w:val="24"/>
              </w:rPr>
              <w:t>常态化开展普法宣传、法律援助、纠纷调处、法律咨询等公共法律服务。</w:t>
            </w:r>
          </w:p>
        </w:tc>
        <w:tc>
          <w:tcPr>
            <w:tcW w:w="1189"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办公室</w:t>
            </w:r>
          </w:p>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法援科</w:t>
            </w:r>
          </w:p>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基层科</w:t>
            </w:r>
          </w:p>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法宣科</w:t>
            </w:r>
          </w:p>
        </w:tc>
        <w:tc>
          <w:tcPr>
            <w:tcW w:w="1238" w:type="dxa"/>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6月前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每月报送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2723"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rPr>
            </w:pP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sz w:val="24"/>
                <w:szCs w:val="24"/>
                <w:lang w:val="en-US" w:eastAsia="zh-CN"/>
              </w:rPr>
              <w:t>2、按照《武汉市司法局 武汉市财政局关于加强公共法律服务体系建设经费保障的意见》要求，落实公共法律服务体系建设经费保障。</w:t>
            </w:r>
          </w:p>
        </w:tc>
        <w:tc>
          <w:tcPr>
            <w:tcW w:w="1189"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行财科</w:t>
            </w:r>
          </w:p>
        </w:tc>
        <w:tc>
          <w:tcPr>
            <w:tcW w:w="1238"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6月前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2723"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rPr>
            </w:pP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3、加强司法所规范化建设，使司法所功能区齐全、人员充足，依托街乡司法所建成公共法律服务站。</w:t>
            </w:r>
          </w:p>
        </w:tc>
        <w:tc>
          <w:tcPr>
            <w:tcW w:w="1189"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基层科</w:t>
            </w:r>
          </w:p>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各司法所</w:t>
            </w:r>
          </w:p>
        </w:tc>
        <w:tc>
          <w:tcPr>
            <w:tcW w:w="1238" w:type="dxa"/>
            <w:textDirection w:val="lrTb"/>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6月前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b w:val="0"/>
                <w:bCs w:val="0"/>
                <w:sz w:val="24"/>
                <w:szCs w:val="24"/>
                <w:vertAlign w:val="baseline"/>
                <w:lang w:val="en-US" w:eastAsia="zh-CN"/>
              </w:rPr>
              <w:t>每月报送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jc w:val="center"/>
        </w:trPr>
        <w:tc>
          <w:tcPr>
            <w:tcW w:w="2723"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rPr>
            </w:pP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4、在全区社区、村建成法务工作室，依托社区法务工作室实现公共法律服务点全覆盖。</w:t>
            </w:r>
          </w:p>
        </w:tc>
        <w:tc>
          <w:tcPr>
            <w:tcW w:w="1189"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基层科</w:t>
            </w:r>
          </w:p>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各司法所</w:t>
            </w:r>
          </w:p>
        </w:tc>
        <w:tc>
          <w:tcPr>
            <w:tcW w:w="1238" w:type="dxa"/>
            <w:textDirection w:val="lrTb"/>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6月前</w:t>
            </w:r>
          </w:p>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每月报送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0" w:hRule="atLeast"/>
          <w:jc w:val="center"/>
        </w:trPr>
        <w:tc>
          <w:tcPr>
            <w:tcW w:w="2723"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val="en-US" w:eastAsia="zh-CN"/>
              </w:rPr>
            </w:pPr>
            <w:r>
              <w:rPr>
                <w:rFonts w:hint="eastAsia" w:ascii="宋体" w:hAnsi="宋体" w:eastAsia="宋体" w:cs="宋体"/>
                <w:sz w:val="24"/>
                <w:szCs w:val="24"/>
                <w:lang w:val="en-US" w:eastAsia="zh-CN"/>
              </w:rPr>
              <w:t>■</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color w:val="000000"/>
                <w:sz w:val="24"/>
                <w:szCs w:val="24"/>
                <w:lang w:val="en-US" w:eastAsia="zh-CN"/>
              </w:rPr>
              <w:t>2、建立党政机关法律顾问考核评价体系，积极推进、</w:t>
            </w:r>
            <w:r>
              <w:rPr>
                <w:rFonts w:hint="eastAsia" w:ascii="仿宋_GB2312" w:hAnsi="仿宋_GB2312" w:eastAsia="仿宋_GB2312" w:cs="仿宋_GB2312"/>
                <w:color w:val="000000"/>
                <w:sz w:val="24"/>
                <w:szCs w:val="24"/>
                <w:lang w:eastAsia="zh-CN"/>
              </w:rPr>
              <w:t>完善、规范法律顾问制度，充分发挥律师顾问作用；</w:t>
            </w:r>
            <w:r>
              <w:rPr>
                <w:rFonts w:hint="eastAsia" w:ascii="仿宋_GB2312" w:hAnsi="仿宋_GB2312" w:eastAsia="仿宋_GB2312" w:cs="仿宋_GB2312"/>
                <w:color w:val="000000"/>
                <w:sz w:val="24"/>
                <w:szCs w:val="24"/>
                <w:lang w:val="en-US" w:eastAsia="zh-CN"/>
              </w:rPr>
              <w:t>深入开展律师进社区活动，实现社区律师工作制度化、规范化、长效化，全年组织社区律师开展专题法治讲座达635场。</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1、建立法律顾问考核评估体系，制定下发《洪山区社区、村法律顾问工作规范手册》，定期开展法律顾问工作监督检查和综合考评，督促指导</w:t>
            </w:r>
            <w:r>
              <w:rPr>
                <w:rFonts w:hint="eastAsia" w:ascii="仿宋_GB2312" w:hAnsi="仿宋_GB2312" w:eastAsia="仿宋_GB2312" w:cs="仿宋_GB2312"/>
                <w:color w:val="000000"/>
                <w:sz w:val="24"/>
                <w:szCs w:val="24"/>
                <w:lang w:eastAsia="zh-CN"/>
              </w:rPr>
              <w:t>机关事业单位法律顾问为政府重大决策、依法行政等提供法律意见，社区（村）法律顾问为社区（村）干群提供法律服务，实现社区（村）法律顾问全覆盖。</w:t>
            </w:r>
          </w:p>
        </w:tc>
        <w:tc>
          <w:tcPr>
            <w:tcW w:w="1189"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律管科</w:t>
            </w:r>
          </w:p>
        </w:tc>
        <w:tc>
          <w:tcPr>
            <w:tcW w:w="1238" w:type="dxa"/>
            <w:textDirection w:val="lrTb"/>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6月前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每月报送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5" w:hRule="atLeast"/>
          <w:jc w:val="center"/>
        </w:trPr>
        <w:tc>
          <w:tcPr>
            <w:tcW w:w="2723"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val="en-US" w:eastAsia="zh-CN"/>
              </w:rPr>
            </w:pP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lang w:eastAsia="zh-CN"/>
              </w:rPr>
              <w:t>社区律师为社区（村）自治管理提供法律意见，为群众开展法律咨询、法律援助、普法宣传、人民调解和涉法涉诉等信访案件化解工作；</w:t>
            </w:r>
            <w:r>
              <w:rPr>
                <w:rFonts w:hint="eastAsia" w:ascii="仿宋_GB2312" w:hAnsi="仿宋_GB2312" w:eastAsia="仿宋_GB2312" w:cs="仿宋_GB2312"/>
                <w:color w:val="000000"/>
                <w:sz w:val="24"/>
                <w:szCs w:val="24"/>
              </w:rPr>
              <w:t>社区律师每季度开展法制讲座等宣传活动不少于1次。</w:t>
            </w:r>
          </w:p>
        </w:tc>
        <w:tc>
          <w:tcPr>
            <w:tcW w:w="1189"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律管科</w:t>
            </w:r>
          </w:p>
        </w:tc>
        <w:tc>
          <w:tcPr>
            <w:tcW w:w="1238" w:type="dxa"/>
            <w:textDirection w:val="lrTb"/>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10月前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每月报送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5" w:hRule="atLeast"/>
          <w:jc w:val="center"/>
        </w:trPr>
        <w:tc>
          <w:tcPr>
            <w:tcW w:w="2723"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val="en-US" w:eastAsia="zh-CN"/>
              </w:rPr>
            </w:pPr>
            <w:r>
              <w:rPr>
                <w:rFonts w:hint="eastAsia" w:ascii="宋体" w:hAnsi="宋体" w:eastAsia="宋体" w:cs="宋体"/>
                <w:sz w:val="24"/>
                <w:szCs w:val="24"/>
                <w:lang w:val="en-US" w:eastAsia="zh-CN"/>
              </w:rPr>
              <w:t>★</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color w:val="000000"/>
                <w:sz w:val="24"/>
                <w:szCs w:val="24"/>
                <w:lang w:val="en-US" w:eastAsia="zh-CN"/>
              </w:rPr>
              <w:t>3、推动“五位一体”大调解机制街道全覆盖。</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在全区各街乡建立“五位一体”大调解机制，积极运用大调解机制化解非正常死亡、群体性上访等复杂疑难矛盾纠纷；加大法律法规宣传普及力度，在全社会倡导形成学法、知法、守法、用法的良好风尚。</w:t>
            </w:r>
          </w:p>
        </w:tc>
        <w:tc>
          <w:tcPr>
            <w:tcW w:w="1189"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基层科</w:t>
            </w:r>
          </w:p>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法宣科</w:t>
            </w:r>
          </w:p>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各司法所</w:t>
            </w:r>
          </w:p>
        </w:tc>
        <w:tc>
          <w:tcPr>
            <w:tcW w:w="1238" w:type="dxa"/>
            <w:textDirection w:val="lrTb"/>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6月前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每月报送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0" w:hRule="atLeast"/>
          <w:jc w:val="center"/>
        </w:trPr>
        <w:tc>
          <w:tcPr>
            <w:tcW w:w="2723"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val="en-US" w:eastAsia="zh-CN"/>
              </w:rPr>
            </w:pPr>
            <w:r>
              <w:rPr>
                <w:rFonts w:hint="eastAsia" w:ascii="宋体" w:hAnsi="宋体" w:eastAsia="宋体" w:cs="宋体"/>
                <w:sz w:val="24"/>
                <w:szCs w:val="24"/>
                <w:lang w:val="en-US" w:eastAsia="zh-CN"/>
              </w:rPr>
              <w:t>■</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color w:val="000000"/>
                <w:sz w:val="24"/>
                <w:szCs w:val="24"/>
                <w:lang w:val="en-US" w:eastAsia="zh-CN"/>
              </w:rPr>
              <w:t>4、健全法律援助服务网络，加大弱势群体法律援助力度，</w:t>
            </w:r>
            <w:r>
              <w:rPr>
                <w:rFonts w:hint="eastAsia" w:ascii="仿宋_GB2312" w:hAnsi="仿宋_GB2312" w:eastAsia="仿宋_GB2312" w:cs="仿宋_GB2312"/>
                <w:color w:val="000000"/>
                <w:sz w:val="24"/>
                <w:szCs w:val="24"/>
                <w:lang w:eastAsia="zh-CN"/>
              </w:rPr>
              <w:t>提升法援案件办理质量，全年办理法援案件</w:t>
            </w:r>
            <w:r>
              <w:rPr>
                <w:rFonts w:hint="eastAsia" w:ascii="仿宋_GB2312" w:hAnsi="仿宋_GB2312" w:eastAsia="仿宋_GB2312" w:cs="仿宋_GB2312"/>
                <w:color w:val="000000"/>
                <w:sz w:val="24"/>
                <w:szCs w:val="24"/>
                <w:lang w:val="en-US" w:eastAsia="zh-CN"/>
              </w:rPr>
              <w:t>420件，事务4200件。</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lang w:eastAsia="zh-CN"/>
              </w:rPr>
              <w:t>建立完善区、街乡、社区三级</w:t>
            </w:r>
            <w:r>
              <w:rPr>
                <w:rFonts w:hint="eastAsia" w:ascii="仿宋_GB2312" w:hAnsi="仿宋_GB2312" w:eastAsia="仿宋_GB2312" w:cs="仿宋_GB2312"/>
                <w:color w:val="000000"/>
                <w:sz w:val="24"/>
                <w:szCs w:val="24"/>
              </w:rPr>
              <w:t>法律援助服务网络，扩大法律援助工作覆盖面</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丰富法律援助内容和形式</w:t>
            </w:r>
            <w:r>
              <w:rPr>
                <w:rFonts w:hint="eastAsia" w:ascii="仿宋_GB2312" w:hAnsi="仿宋_GB2312" w:eastAsia="仿宋_GB2312" w:cs="仿宋_GB2312"/>
                <w:color w:val="000000"/>
                <w:sz w:val="24"/>
                <w:szCs w:val="24"/>
                <w:lang w:eastAsia="zh-CN"/>
              </w:rPr>
              <w:t>，继续深化法援异地协作和区校合作；规范法律援助服务标准，开展法援案卷质量评估，</w:t>
            </w:r>
            <w:r>
              <w:rPr>
                <w:rFonts w:hint="eastAsia" w:ascii="仿宋_GB2312" w:hAnsi="仿宋_GB2312" w:eastAsia="仿宋_GB2312" w:cs="仿宋_GB2312"/>
                <w:color w:val="000000"/>
                <w:sz w:val="24"/>
                <w:szCs w:val="24"/>
                <w:lang w:val="en-US" w:eastAsia="zh-CN"/>
              </w:rPr>
              <w:t>不断提升法援办案质量；全年办理法援案件420件、法援事务4200件，接待来电来访咨询3000件。</w:t>
            </w:r>
          </w:p>
        </w:tc>
        <w:tc>
          <w:tcPr>
            <w:tcW w:w="1189"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法援科</w:t>
            </w:r>
          </w:p>
        </w:tc>
        <w:tc>
          <w:tcPr>
            <w:tcW w:w="1238" w:type="dxa"/>
            <w:textDirection w:val="lrTb"/>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10月前</w:t>
            </w:r>
          </w:p>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每月报送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 w:hRule="atLeast"/>
          <w:jc w:val="center"/>
        </w:trPr>
        <w:tc>
          <w:tcPr>
            <w:tcW w:w="2723"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仿宋_GB2312" w:hAnsi="仿宋_GB2312" w:eastAsia="仿宋_GB2312" w:cs="仿宋_GB2312"/>
                <w:sz w:val="24"/>
                <w:szCs w:val="24"/>
                <w:lang w:val="en-US" w:eastAsia="zh-CN"/>
              </w:rPr>
              <w:t>★</w:t>
            </w:r>
            <w:r>
              <w:rPr>
                <w:rFonts w:hint="eastAsia" w:ascii="宋体" w:hAnsi="宋体" w:eastAsia="宋体" w:cs="宋体"/>
                <w:sz w:val="24"/>
                <w:szCs w:val="24"/>
                <w:lang w:val="en-US" w:eastAsia="zh-CN"/>
              </w:rPr>
              <w:t>▲</w:t>
            </w:r>
            <w:r>
              <w:rPr>
                <w:rFonts w:hint="eastAsia" w:ascii="仿宋_GB2312" w:hAnsi="仿宋_GB2312" w:eastAsia="仿宋_GB2312" w:cs="仿宋_GB2312"/>
                <w:color w:val="000000"/>
                <w:sz w:val="24"/>
                <w:szCs w:val="24"/>
                <w:lang w:val="en-US" w:eastAsia="zh-CN"/>
              </w:rPr>
              <w:t>5、</w:t>
            </w:r>
            <w:r>
              <w:rPr>
                <w:rFonts w:hint="eastAsia" w:ascii="仿宋_GB2312" w:hAnsi="仿宋_GB2312" w:eastAsia="仿宋_GB2312" w:cs="仿宋_GB2312"/>
                <w:color w:val="000000"/>
                <w:sz w:val="24"/>
                <w:szCs w:val="24"/>
                <w:lang w:eastAsia="zh-CN"/>
              </w:rPr>
              <w:t>启动“七五”普法，实现对象、形式、内容“三精准”，全年完成普法人数不少于</w:t>
            </w:r>
            <w:r>
              <w:rPr>
                <w:rFonts w:hint="eastAsia" w:ascii="仿宋_GB2312" w:hAnsi="仿宋_GB2312" w:eastAsia="仿宋_GB2312" w:cs="仿宋_GB2312"/>
                <w:color w:val="000000"/>
                <w:sz w:val="24"/>
                <w:szCs w:val="24"/>
                <w:lang w:val="en-US" w:eastAsia="zh-CN"/>
              </w:rPr>
              <w:t>10万人。</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val="en-US" w:eastAsia="zh-CN"/>
              </w:rPr>
              <w:t>制发“七五”普法规划，调整普法讲师团，创新普法宣传形式，深入推进法治文化阵地建设，建立新媒体普法宣传平台，围绕重点项目开展法治宣传；充分运用普法阵地，针对不同受众开展法律讲座、法治文化活动、法治文艺演出、中心组学法、“一月一法”学习等不同形式的普法宣传教育活动，积极推进法律“新六进”，实现“三精准”。落实《2016年普法宣讲计划》。</w:t>
            </w:r>
          </w:p>
        </w:tc>
        <w:tc>
          <w:tcPr>
            <w:tcW w:w="1189"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法宣科</w:t>
            </w:r>
          </w:p>
        </w:tc>
        <w:tc>
          <w:tcPr>
            <w:tcW w:w="1238" w:type="dxa"/>
            <w:textDirection w:val="lrTb"/>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10月前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每月报送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5" w:hRule="atLeast"/>
          <w:jc w:val="center"/>
        </w:trPr>
        <w:tc>
          <w:tcPr>
            <w:tcW w:w="2723"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val="en-US" w:eastAsia="zh-CN"/>
              </w:rPr>
            </w:pPr>
            <w:r>
              <w:rPr>
                <w:rFonts w:hint="eastAsia" w:ascii="宋体" w:hAnsi="宋体" w:eastAsia="宋体" w:cs="宋体"/>
                <w:sz w:val="24"/>
                <w:szCs w:val="24"/>
                <w:lang w:val="en-US" w:eastAsia="zh-CN"/>
              </w:rPr>
              <w:t>■</w:t>
            </w: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color w:val="000000"/>
                <w:sz w:val="24"/>
                <w:szCs w:val="24"/>
                <w:lang w:eastAsia="zh-CN"/>
              </w:rPr>
              <w:t>认真贯彻执行《武汉市社区矫正实施细则》，</w:t>
            </w:r>
            <w:r>
              <w:rPr>
                <w:rFonts w:hint="eastAsia" w:ascii="仿宋_GB2312" w:hAnsi="仿宋_GB2312" w:eastAsia="仿宋_GB2312" w:cs="仿宋_GB2312"/>
                <w:color w:val="000000"/>
                <w:sz w:val="24"/>
                <w:szCs w:val="24"/>
                <w:lang w:val="en-US" w:eastAsia="zh-CN"/>
              </w:rPr>
              <w:t>落实</w:t>
            </w:r>
            <w:r>
              <w:rPr>
                <w:rFonts w:hint="eastAsia" w:ascii="仿宋_GB2312" w:hAnsi="仿宋_GB2312" w:eastAsia="仿宋_GB2312" w:cs="仿宋_GB2312"/>
                <w:color w:val="000000"/>
                <w:sz w:val="24"/>
                <w:szCs w:val="24"/>
                <w:lang w:eastAsia="zh-CN"/>
              </w:rPr>
              <w:t>完善</w:t>
            </w:r>
            <w:r>
              <w:rPr>
                <w:rFonts w:hint="eastAsia" w:ascii="仿宋_GB2312" w:hAnsi="仿宋_GB2312" w:eastAsia="仿宋_GB2312" w:cs="仿宋_GB2312"/>
                <w:color w:val="000000"/>
                <w:sz w:val="24"/>
                <w:szCs w:val="24"/>
              </w:rPr>
              <w:t>社区矫正</w:t>
            </w:r>
            <w:r>
              <w:rPr>
                <w:rFonts w:hint="eastAsia" w:ascii="仿宋_GB2312" w:hAnsi="仿宋_GB2312" w:eastAsia="仿宋_GB2312" w:cs="仿宋_GB2312"/>
                <w:color w:val="000000"/>
                <w:sz w:val="24"/>
                <w:szCs w:val="24"/>
                <w:lang w:eastAsia="zh-CN"/>
              </w:rPr>
              <w:t>对象、刑满释放人员安置帮教措施，矫正对象、刑满释放人员重新犯罪率分别控制在</w:t>
            </w:r>
            <w:r>
              <w:rPr>
                <w:rFonts w:hint="eastAsia" w:ascii="仿宋_GB2312" w:hAnsi="仿宋_GB2312" w:eastAsia="仿宋_GB2312" w:cs="仿宋_GB2312"/>
                <w:color w:val="000000"/>
                <w:sz w:val="24"/>
                <w:szCs w:val="24"/>
                <w:lang w:val="en-US" w:eastAsia="zh-CN"/>
              </w:rPr>
              <w:t>1%和3%以内。</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eastAsia="zh-CN"/>
              </w:rPr>
              <w:t>做好审前社会调查和日常监管教育，社区服刑人员分类管理分级处遇分阶段教育率、日常监管措施落实率、考核奖惩使用率、案卷评查整改率达100%，重新犯罪率控制在1%以内</w:t>
            </w:r>
            <w:r>
              <w:rPr>
                <w:rFonts w:hint="eastAsia" w:ascii="仿宋_GB2312" w:hAnsi="仿宋_GB2312" w:eastAsia="仿宋_GB2312" w:cs="仿宋_GB2312"/>
                <w:color w:val="000000"/>
                <w:sz w:val="24"/>
                <w:szCs w:val="24"/>
                <w:lang w:val="en-US" w:eastAsia="zh-CN"/>
              </w:rPr>
              <w:t>；做好刑释人员无缝对接、接茬登记等工作，</w:t>
            </w:r>
            <w:r>
              <w:rPr>
                <w:rFonts w:hint="eastAsia" w:ascii="仿宋_GB2312" w:hAnsi="仿宋_GB2312" w:eastAsia="仿宋_GB2312" w:cs="仿宋_GB2312"/>
                <w:color w:val="000000"/>
                <w:sz w:val="24"/>
                <w:szCs w:val="24"/>
                <w:lang w:eastAsia="zh-CN"/>
              </w:rPr>
              <w:t>落实困难刑释人员临时救助、帮困解难和就业技能培训等帮教措施；加强社区服刑人员和刑释人员走访排查和困难“两类”人员慰问，建立规范的工作档案，组织经常性执法监督检查。</w:t>
            </w:r>
          </w:p>
        </w:tc>
        <w:tc>
          <w:tcPr>
            <w:tcW w:w="1189"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社矫科</w:t>
            </w:r>
          </w:p>
        </w:tc>
        <w:tc>
          <w:tcPr>
            <w:tcW w:w="1238" w:type="dxa"/>
            <w:textDirection w:val="lrTb"/>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10月前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每月报送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5" w:hRule="atLeast"/>
          <w:jc w:val="center"/>
        </w:trPr>
        <w:tc>
          <w:tcPr>
            <w:tcW w:w="2723"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sz w:val="24"/>
                <w:szCs w:val="24"/>
                <w:lang w:val="en-US" w:eastAsia="zh-CN"/>
              </w:rPr>
              <w:t>■</w:t>
            </w:r>
            <w:r>
              <w:rPr>
                <w:rFonts w:hint="eastAsia" w:ascii="宋体" w:hAnsi="宋体" w:eastAsia="宋体" w:cs="宋体"/>
                <w:sz w:val="24"/>
                <w:szCs w:val="24"/>
                <w:lang w:val="en-US" w:eastAsia="zh-CN"/>
              </w:rPr>
              <w:t>★</w:t>
            </w:r>
            <w:r>
              <w:rPr>
                <w:rFonts w:hint="eastAsia" w:ascii="仿宋_GB2312" w:hAnsi="仿宋_GB2312" w:eastAsia="仿宋_GB2312" w:cs="仿宋_GB2312"/>
                <w:sz w:val="24"/>
                <w:szCs w:val="24"/>
                <w:lang w:val="en-US" w:eastAsia="zh-CN"/>
              </w:rPr>
              <w:t>7、积极开展“双创”法律服务工作。</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val="en-US" w:eastAsia="zh-CN"/>
              </w:rPr>
              <w:t>加强区校协作，共同建立“双创”法律服务体系，组织辖区律师为大学生创新创业提供法律服务，全年开展“双创”法律服务不少于4次。</w:t>
            </w:r>
          </w:p>
        </w:tc>
        <w:tc>
          <w:tcPr>
            <w:tcW w:w="1189"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律管科</w:t>
            </w:r>
          </w:p>
        </w:tc>
        <w:tc>
          <w:tcPr>
            <w:tcW w:w="1238" w:type="dxa"/>
            <w:textDirection w:val="lrTb"/>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10月前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每月报送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5" w:hRule="atLeast"/>
          <w:jc w:val="center"/>
        </w:trPr>
        <w:tc>
          <w:tcPr>
            <w:tcW w:w="2723"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val="en-US" w:eastAsia="zh-CN"/>
              </w:rPr>
            </w:pPr>
            <w:r>
              <w:rPr>
                <w:rFonts w:hint="eastAsia" w:ascii="宋体" w:hAnsi="宋体" w:eastAsia="宋体" w:cs="宋体"/>
                <w:sz w:val="24"/>
                <w:szCs w:val="24"/>
                <w:lang w:val="en-US" w:eastAsia="zh-CN"/>
              </w:rPr>
              <w:t>■</w:t>
            </w:r>
            <w:r>
              <w:rPr>
                <w:rFonts w:hint="eastAsia" w:ascii="仿宋_GB2312" w:hAnsi="仿宋_GB2312" w:eastAsia="仿宋_GB2312" w:cs="仿宋_GB2312"/>
                <w:sz w:val="24"/>
                <w:szCs w:val="24"/>
                <w:lang w:val="en-US" w:eastAsia="zh-CN"/>
              </w:rPr>
              <w:t>★8</w:t>
            </w:r>
            <w:r>
              <w:rPr>
                <w:rFonts w:hint="eastAsia" w:ascii="仿宋_GB2312" w:hAnsi="仿宋_GB2312" w:eastAsia="仿宋_GB2312" w:cs="仿宋_GB2312"/>
                <w:color w:val="000000"/>
                <w:sz w:val="24"/>
                <w:szCs w:val="24"/>
                <w:lang w:val="en-US" w:eastAsia="zh-CN"/>
              </w:rPr>
              <w:t>、加强刑事法援工作，</w:t>
            </w:r>
            <w:r>
              <w:rPr>
                <w:rFonts w:hint="eastAsia" w:ascii="仿宋_GB2312" w:hAnsi="仿宋_GB2312" w:eastAsia="仿宋_GB2312" w:cs="仿宋_GB2312"/>
                <w:color w:val="000000"/>
                <w:sz w:val="24"/>
                <w:szCs w:val="24"/>
                <w:lang w:eastAsia="zh-CN"/>
              </w:rPr>
              <w:t>建设刑事速裁法援工作站，畅通刑事速裁法律援助工作渠道，保障犯罪嫌疑人、被告人依法行使辩护权。</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eastAsia="zh-CN"/>
              </w:rPr>
              <w:t>配合区委政法委，加强与公检法协作，</w:t>
            </w:r>
            <w:r>
              <w:rPr>
                <w:rFonts w:hint="eastAsia" w:ascii="仿宋_GB2312" w:hAnsi="仿宋_GB2312" w:eastAsia="仿宋_GB2312" w:cs="仿宋_GB2312"/>
                <w:color w:val="000000"/>
                <w:sz w:val="24"/>
                <w:szCs w:val="24"/>
                <w:lang w:val="en-US" w:eastAsia="zh-CN"/>
              </w:rPr>
              <w:t>建立刑事速裁程序法律援助工作站，指派律师在洪山区法律援助中心驻看守所工作站开展每周一次的坐班接待咨询服务。</w:t>
            </w:r>
          </w:p>
        </w:tc>
        <w:tc>
          <w:tcPr>
            <w:tcW w:w="1189"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法援科</w:t>
            </w:r>
          </w:p>
        </w:tc>
        <w:tc>
          <w:tcPr>
            <w:tcW w:w="1238" w:type="dxa"/>
            <w:textDirection w:val="lrTb"/>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10月前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每月报送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0" w:hRule="atLeast"/>
          <w:jc w:val="center"/>
        </w:trPr>
        <w:tc>
          <w:tcPr>
            <w:tcW w:w="2723"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val="en-US" w:eastAsia="zh-CN"/>
              </w:rPr>
            </w:pPr>
            <w:r>
              <w:rPr>
                <w:rFonts w:hint="eastAsia" w:ascii="宋体" w:hAnsi="宋体" w:eastAsia="宋体" w:cs="宋体"/>
                <w:sz w:val="24"/>
                <w:szCs w:val="24"/>
                <w:lang w:val="en-US" w:eastAsia="zh-CN"/>
              </w:rPr>
              <w:t>■</w:t>
            </w:r>
            <w:r>
              <w:rPr>
                <w:rFonts w:hint="eastAsia" w:ascii="仿宋_GB2312" w:hAnsi="仿宋_GB2312" w:eastAsia="仿宋_GB2312" w:cs="仿宋_GB2312"/>
                <w:sz w:val="24"/>
                <w:szCs w:val="24"/>
                <w:lang w:val="en-US" w:eastAsia="zh-CN"/>
              </w:rPr>
              <w:t>★9</w:t>
            </w:r>
            <w:r>
              <w:rPr>
                <w:rFonts w:hint="eastAsia" w:ascii="仿宋_GB2312" w:hAnsi="仿宋_GB2312" w:eastAsia="仿宋_GB2312" w:cs="仿宋_GB2312"/>
                <w:color w:val="000000"/>
                <w:sz w:val="24"/>
                <w:szCs w:val="24"/>
                <w:lang w:val="en-US" w:eastAsia="zh-CN"/>
              </w:rPr>
              <w:t>、</w:t>
            </w:r>
            <w:r>
              <w:rPr>
                <w:rFonts w:hint="eastAsia" w:ascii="仿宋_GB2312" w:hAnsi="仿宋_GB2312" w:eastAsia="仿宋_GB2312" w:cs="仿宋_GB2312"/>
                <w:color w:val="000000"/>
                <w:sz w:val="24"/>
                <w:szCs w:val="24"/>
                <w:lang w:eastAsia="zh-CN"/>
              </w:rPr>
              <w:t>建立完善人民调解、行政调解、司法调解联动机制，做好矛盾纠纷排查调解工作，调解民间纠纷成功率达</w:t>
            </w:r>
            <w:r>
              <w:rPr>
                <w:rFonts w:hint="eastAsia" w:ascii="仿宋_GB2312" w:hAnsi="仿宋_GB2312" w:eastAsia="仿宋_GB2312" w:cs="仿宋_GB2312"/>
                <w:color w:val="000000"/>
                <w:sz w:val="24"/>
                <w:szCs w:val="24"/>
                <w:lang w:val="en-US" w:eastAsia="zh-CN"/>
              </w:rPr>
              <w:t>99%以上。</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sz w:val="24"/>
                <w:szCs w:val="24"/>
              </w:rPr>
              <w:t>加强行业性专业调委会组织队伍建设，扩大行业性专业调委会覆盖面</w:t>
            </w:r>
            <w:r>
              <w:rPr>
                <w:rFonts w:hint="eastAsia" w:ascii="仿宋_GB2312" w:hAnsi="仿宋_GB2312" w:eastAsia="仿宋_GB2312" w:cs="仿宋_GB2312"/>
                <w:sz w:val="24"/>
                <w:szCs w:val="24"/>
                <w:lang w:eastAsia="zh-CN"/>
              </w:rPr>
              <w:t>；落实“月排查”制度，将矛盾纠纷日常排查和重大节日、敏感时期的专项排查相结合，</w:t>
            </w:r>
            <w:r>
              <w:rPr>
                <w:rFonts w:hint="eastAsia" w:ascii="仿宋_GB2312" w:hAnsi="仿宋_GB2312" w:eastAsia="仿宋_GB2312" w:cs="仿宋_GB2312"/>
                <w:color w:val="000000"/>
                <w:sz w:val="24"/>
                <w:szCs w:val="24"/>
                <w:lang w:eastAsia="zh-CN"/>
              </w:rPr>
              <w:t>充分运用全区各级民调组织排查调处各类矛盾纠纷，</w:t>
            </w:r>
            <w:r>
              <w:rPr>
                <w:rFonts w:hint="eastAsia" w:ascii="仿宋_GB2312" w:hAnsi="仿宋_GB2312" w:eastAsia="仿宋_GB2312" w:cs="仿宋_GB2312"/>
                <w:sz w:val="24"/>
                <w:szCs w:val="24"/>
                <w:lang w:eastAsia="zh-CN"/>
              </w:rPr>
              <w:t>做到小事不出社区（村）、大事不出街道（乡镇）、重大疑难纠纷不出区，</w:t>
            </w:r>
            <w:r>
              <w:rPr>
                <w:rFonts w:hint="eastAsia" w:ascii="仿宋_GB2312" w:hAnsi="仿宋_GB2312" w:eastAsia="仿宋_GB2312" w:cs="仿宋_GB2312"/>
                <w:color w:val="000000"/>
                <w:sz w:val="24"/>
                <w:szCs w:val="24"/>
                <w:lang w:eastAsia="zh-CN"/>
              </w:rPr>
              <w:t>调处成功率达</w:t>
            </w:r>
            <w:r>
              <w:rPr>
                <w:rFonts w:hint="eastAsia" w:ascii="仿宋_GB2312" w:hAnsi="仿宋_GB2312" w:eastAsia="仿宋_GB2312" w:cs="仿宋_GB2312"/>
                <w:color w:val="000000"/>
                <w:sz w:val="24"/>
                <w:szCs w:val="24"/>
                <w:lang w:val="en-US" w:eastAsia="zh-CN"/>
              </w:rPr>
              <w:t>99%以上。</w:t>
            </w:r>
          </w:p>
        </w:tc>
        <w:tc>
          <w:tcPr>
            <w:tcW w:w="1189"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基层科</w:t>
            </w:r>
          </w:p>
        </w:tc>
        <w:tc>
          <w:tcPr>
            <w:tcW w:w="1238" w:type="dxa"/>
            <w:textDirection w:val="lrTb"/>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10月前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每月报送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0" w:hRule="atLeast"/>
          <w:jc w:val="center"/>
        </w:trPr>
        <w:tc>
          <w:tcPr>
            <w:tcW w:w="2723"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val="en-US" w:eastAsia="zh-CN"/>
              </w:rPr>
            </w:pPr>
            <w:r>
              <w:rPr>
                <w:rFonts w:hint="eastAsia" w:ascii="宋体" w:hAnsi="宋体" w:eastAsia="宋体" w:cs="宋体"/>
                <w:sz w:val="24"/>
                <w:szCs w:val="24"/>
                <w:lang w:val="en-US" w:eastAsia="zh-CN"/>
              </w:rPr>
              <w:t>■</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color w:val="000000"/>
                <w:sz w:val="24"/>
                <w:szCs w:val="24"/>
                <w:lang w:val="en-US" w:eastAsia="zh-CN"/>
              </w:rPr>
              <w:t>10、</w:t>
            </w:r>
            <w:r>
              <w:rPr>
                <w:rFonts w:hint="eastAsia" w:ascii="仿宋_GB2312" w:hAnsi="仿宋_GB2312" w:eastAsia="仿宋_GB2312" w:cs="仿宋_GB2312"/>
                <w:color w:val="000000"/>
                <w:sz w:val="24"/>
                <w:szCs w:val="24"/>
                <w:lang w:eastAsia="zh-CN"/>
              </w:rPr>
              <w:t>法律服务投诉受理查处率100%。</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eastAsia="zh-CN"/>
              </w:rPr>
              <w:t>加强对法律从业人员执业活动监管，建立执业行为规范，不定期组织学习培训，组织年检年审和考评，提高法律服务队伍的职业道德、执业纪律和诚信服务意识；对群众投诉案件发现一起、查处一起，法律服务工作投诉受理、查处率100%，无因监管不力引发的越级上访、行政复议和行政诉讼案件。</w:t>
            </w:r>
          </w:p>
        </w:tc>
        <w:tc>
          <w:tcPr>
            <w:tcW w:w="1189"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基层科</w:t>
            </w:r>
          </w:p>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律管科</w:t>
            </w:r>
          </w:p>
        </w:tc>
        <w:tc>
          <w:tcPr>
            <w:tcW w:w="1238" w:type="dxa"/>
            <w:textDirection w:val="lrTb"/>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10月前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每月报送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2723"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color w:val="000000"/>
                <w:sz w:val="24"/>
                <w:szCs w:val="24"/>
                <w:lang w:val="en-US" w:eastAsia="zh-CN"/>
              </w:rPr>
              <w:t>11、加强对社区矫正人员的教育管理。</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eastAsia="zh-CN"/>
              </w:rPr>
              <w:t>强化社区服刑人员日常教育监管力度，开展多种形式的帮矫活动，积极</w:t>
            </w:r>
            <w:r>
              <w:rPr>
                <w:rFonts w:hint="eastAsia" w:ascii="仿宋_GB2312" w:hAnsi="仿宋_GB2312" w:eastAsia="仿宋_GB2312" w:cs="仿宋_GB2312"/>
                <w:color w:val="000000"/>
                <w:sz w:val="24"/>
                <w:szCs w:val="24"/>
                <w:lang w:val="en-US" w:eastAsia="zh-CN"/>
              </w:rPr>
              <w:t>组织社会力量参与社区矫正工作，充实社区矫正讲师团，继续举办“教育大讲堂”。</w:t>
            </w:r>
          </w:p>
        </w:tc>
        <w:tc>
          <w:tcPr>
            <w:tcW w:w="1189"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社矫科</w:t>
            </w:r>
          </w:p>
        </w:tc>
        <w:tc>
          <w:tcPr>
            <w:tcW w:w="1238" w:type="dxa"/>
            <w:textDirection w:val="lrTb"/>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10月前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每月报送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0" w:hRule="atLeast"/>
          <w:jc w:val="center"/>
        </w:trPr>
        <w:tc>
          <w:tcPr>
            <w:tcW w:w="2723"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color w:val="000000"/>
                <w:sz w:val="24"/>
                <w:szCs w:val="24"/>
                <w:lang w:val="en-US" w:eastAsia="zh-CN"/>
              </w:rPr>
              <w:t>12、群众安全感、社会治安满意度、政法机关公正执法满意度进入中心城区前列。</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eastAsia="zh-CN"/>
              </w:rPr>
              <w:t>大力增强全民法治观念，提升群众对平安建设的知晓率、参与率；加强干警业务培训，提升执法司法水平，强化执法规范化建设；建立矛盾纠纷排查制度，加大矛盾纠纷排查力度，及时发现调处纠纷，营造和谐稳定社会氛围。</w:t>
            </w:r>
          </w:p>
        </w:tc>
        <w:tc>
          <w:tcPr>
            <w:tcW w:w="1189"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办公室</w:t>
            </w:r>
          </w:p>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政治处</w:t>
            </w:r>
          </w:p>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法宣科</w:t>
            </w:r>
          </w:p>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基层科</w:t>
            </w:r>
          </w:p>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各司法所</w:t>
            </w:r>
          </w:p>
        </w:tc>
        <w:tc>
          <w:tcPr>
            <w:tcW w:w="1238" w:type="dxa"/>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10月前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按要求报送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5" w:hRule="atLeast"/>
          <w:jc w:val="center"/>
        </w:trPr>
        <w:tc>
          <w:tcPr>
            <w:tcW w:w="2723"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color w:val="000000"/>
                <w:sz w:val="24"/>
                <w:szCs w:val="24"/>
                <w:lang w:val="en-US" w:eastAsia="zh-CN"/>
              </w:rPr>
              <w:t>13、深化网格化社会管理，做实街道（乡）网格化综合管理中心，加强网格员队伍建设，推动“互联网+”社会治理，以“数据文化”实现精细化、标准化、常态化社会服务管理。</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eastAsia="zh-CN"/>
              </w:rPr>
              <w:t>与社区共同打造网格化管理服务平台，方便群众及时享受法律服务和反映问题诉求；充分发挥社区民调员作用，配合开展矛盾隐患收集、上报和处置，形成网格化问题快速处置机制。</w:t>
            </w:r>
          </w:p>
        </w:tc>
        <w:tc>
          <w:tcPr>
            <w:tcW w:w="1189"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办公室</w:t>
            </w:r>
          </w:p>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相关业务科室和司法所</w:t>
            </w:r>
          </w:p>
        </w:tc>
        <w:tc>
          <w:tcPr>
            <w:tcW w:w="1238" w:type="dxa"/>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10月前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按要求报送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2723"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color w:val="000000"/>
                <w:sz w:val="24"/>
                <w:szCs w:val="24"/>
                <w:lang w:val="en-US" w:eastAsia="zh-CN"/>
              </w:rPr>
              <w:t>14、落实重大决策社会稳定风险评估制度，多元化排查化解矛盾纠纷，有效预防和化解社会矛盾。</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rPr>
              <w:t>实行每月排查与重要敏感时期集中排查相结合，滚动排查有可能影响社会稳定的矛盾纠纷，</w:t>
            </w:r>
            <w:r>
              <w:rPr>
                <w:rFonts w:hint="eastAsia" w:ascii="仿宋_GB2312" w:hAnsi="仿宋_GB2312" w:eastAsia="仿宋_GB2312" w:cs="仿宋_GB2312"/>
                <w:color w:val="000000"/>
                <w:sz w:val="24"/>
                <w:szCs w:val="24"/>
                <w:lang w:eastAsia="zh-CN"/>
              </w:rPr>
              <w:t>及时上报重大突出矛盾纠纷</w:t>
            </w:r>
            <w:r>
              <w:rPr>
                <w:rFonts w:hint="eastAsia" w:ascii="仿宋_GB2312" w:hAnsi="仿宋_GB2312" w:eastAsia="仿宋_GB2312" w:cs="仿宋_GB2312"/>
                <w:color w:val="000000"/>
                <w:sz w:val="24"/>
                <w:szCs w:val="24"/>
              </w:rPr>
              <w:t>，</w:t>
            </w:r>
            <w:r>
              <w:rPr>
                <w:rFonts w:hint="eastAsia" w:ascii="仿宋_GB2312" w:hAnsi="仿宋_GB2312" w:eastAsia="仿宋_GB2312" w:cs="仿宋_GB2312"/>
                <w:color w:val="000000"/>
                <w:sz w:val="24"/>
                <w:szCs w:val="24"/>
                <w:lang w:eastAsia="zh-CN"/>
              </w:rPr>
              <w:t>指导相关部门</w:t>
            </w:r>
            <w:r>
              <w:rPr>
                <w:rFonts w:hint="eastAsia" w:ascii="仿宋_GB2312" w:hAnsi="仿宋_GB2312" w:eastAsia="仿宋_GB2312" w:cs="仿宋_GB2312"/>
                <w:color w:val="000000"/>
                <w:sz w:val="24"/>
                <w:szCs w:val="24"/>
              </w:rPr>
              <w:t>就地妥善化解、落实疏导稳控，确保辖区大局稳定</w:t>
            </w:r>
            <w:r>
              <w:rPr>
                <w:rFonts w:hint="eastAsia" w:ascii="仿宋_GB2312" w:hAnsi="仿宋_GB2312" w:eastAsia="仿宋_GB2312" w:cs="仿宋_GB2312"/>
                <w:color w:val="000000"/>
                <w:sz w:val="24"/>
                <w:szCs w:val="24"/>
                <w:lang w:eastAsia="zh-CN"/>
              </w:rPr>
              <w:t>；积极配合各级维稳部门处置突发事件。</w:t>
            </w:r>
          </w:p>
        </w:tc>
        <w:tc>
          <w:tcPr>
            <w:tcW w:w="1189"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办公室</w:t>
            </w:r>
          </w:p>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基层科</w:t>
            </w:r>
          </w:p>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各司法所</w:t>
            </w:r>
          </w:p>
        </w:tc>
        <w:tc>
          <w:tcPr>
            <w:tcW w:w="1238" w:type="dxa"/>
            <w:textDirection w:val="lrTb"/>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10月前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按要求报送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0" w:hRule="atLeast"/>
          <w:jc w:val="center"/>
        </w:trPr>
        <w:tc>
          <w:tcPr>
            <w:tcW w:w="2723"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color w:val="000000"/>
                <w:sz w:val="24"/>
                <w:szCs w:val="24"/>
                <w:lang w:val="en-US" w:eastAsia="zh-CN"/>
              </w:rPr>
              <w:t>15、坚持司法为民理念，深化司法体制改革，促进司法公正，完善司法监督，构建开放、动态、透明、便民的司法机制；健全利益表达、协调和保护机制。</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健全司法救助机制，</w:t>
            </w:r>
            <w:r>
              <w:rPr>
                <w:rFonts w:hint="eastAsia" w:ascii="仿宋_GB2312" w:hAnsi="仿宋_GB2312" w:eastAsia="仿宋_GB2312" w:cs="仿宋_GB2312"/>
                <w:color w:val="000000"/>
                <w:sz w:val="24"/>
                <w:szCs w:val="24"/>
                <w:lang w:val="en-US" w:eastAsia="zh-CN"/>
              </w:rPr>
              <w:t>及时发放困难刑释人员临时救助金，指派律师为困难弱势群体提供法律援助服务，保障弱势群体合法权益</w:t>
            </w:r>
            <w:r>
              <w:rPr>
                <w:rFonts w:hint="eastAsia" w:ascii="仿宋_GB2312" w:hAnsi="仿宋_GB2312" w:eastAsia="仿宋_GB2312" w:cs="仿宋_GB2312"/>
                <w:color w:val="000000"/>
                <w:sz w:val="24"/>
                <w:szCs w:val="24"/>
              </w:rPr>
              <w:t>。加强</w:t>
            </w:r>
            <w:r>
              <w:rPr>
                <w:rFonts w:hint="eastAsia" w:ascii="仿宋_GB2312" w:hAnsi="仿宋_GB2312" w:eastAsia="仿宋_GB2312" w:cs="仿宋_GB2312"/>
                <w:color w:val="000000"/>
                <w:sz w:val="24"/>
                <w:szCs w:val="24"/>
                <w:lang w:eastAsia="zh-CN"/>
              </w:rPr>
              <w:t>公共法律服务中心、站、点等司法</w:t>
            </w:r>
            <w:r>
              <w:rPr>
                <w:rFonts w:hint="eastAsia" w:ascii="仿宋_GB2312" w:hAnsi="仿宋_GB2312" w:eastAsia="仿宋_GB2312" w:cs="仿宋_GB2312"/>
                <w:color w:val="000000"/>
                <w:sz w:val="24"/>
                <w:szCs w:val="24"/>
              </w:rPr>
              <w:t>窗口部门规范化建设，推进“一站式”法律服务平台建设，提升法律服务水平。</w:t>
            </w:r>
          </w:p>
        </w:tc>
        <w:tc>
          <w:tcPr>
            <w:tcW w:w="1189"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办公室</w:t>
            </w:r>
          </w:p>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法援科</w:t>
            </w:r>
          </w:p>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社矫科</w:t>
            </w:r>
          </w:p>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各司法所</w:t>
            </w:r>
          </w:p>
        </w:tc>
        <w:tc>
          <w:tcPr>
            <w:tcW w:w="1238" w:type="dxa"/>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10月前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按要求报送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0" w:hRule="atLeast"/>
          <w:jc w:val="center"/>
        </w:trPr>
        <w:tc>
          <w:tcPr>
            <w:tcW w:w="2723"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●16、弘扬社会主义法治精神，加强法治教育，在全区形成办事依法、遇事找法、解决问题用法、化解矛盾靠法的良好氛围和法治习惯。</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eastAsia="zh-CN"/>
              </w:rPr>
              <w:t>配合区法治办推进</w:t>
            </w:r>
            <w:r>
              <w:rPr>
                <w:rFonts w:hint="eastAsia" w:ascii="仿宋_GB2312" w:hAnsi="仿宋_GB2312" w:eastAsia="仿宋_GB2312" w:cs="仿宋_GB2312"/>
                <w:color w:val="auto"/>
                <w:sz w:val="24"/>
                <w:szCs w:val="24"/>
              </w:rPr>
              <w:t>建立全区社区、村法律顾问制度</w:t>
            </w:r>
            <w:r>
              <w:rPr>
                <w:rFonts w:hint="eastAsia" w:ascii="仿宋_GB2312" w:hAnsi="仿宋_GB2312" w:eastAsia="仿宋_GB2312" w:cs="仿宋_GB2312"/>
                <w:color w:val="auto"/>
                <w:sz w:val="24"/>
                <w:szCs w:val="24"/>
                <w:lang w:eastAsia="zh-CN"/>
              </w:rPr>
              <w:t>，建立实施规范化、制度化、常态化的社区、村法律顾问工作机制，提升干部群众法治意识和依法办事能力；加大法治宣传力度，落实普法责任制，多途径、多形式开展普法宣传教育活动。</w:t>
            </w:r>
          </w:p>
        </w:tc>
        <w:tc>
          <w:tcPr>
            <w:tcW w:w="1189"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律管科</w:t>
            </w:r>
          </w:p>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法宣科</w:t>
            </w:r>
          </w:p>
        </w:tc>
        <w:tc>
          <w:tcPr>
            <w:tcW w:w="1238" w:type="dxa"/>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color w:val="auto"/>
                <w:sz w:val="24"/>
                <w:szCs w:val="24"/>
                <w:vertAlign w:val="baseline"/>
                <w:lang w:val="en-US" w:eastAsia="zh-CN"/>
              </w:rPr>
            </w:pPr>
            <w:r>
              <w:rPr>
                <w:rFonts w:hint="eastAsia" w:ascii="仿宋_GB2312" w:hAnsi="仿宋_GB2312" w:eastAsia="仿宋_GB2312" w:cs="仿宋_GB2312"/>
                <w:b w:val="0"/>
                <w:bCs w:val="0"/>
                <w:color w:val="auto"/>
                <w:sz w:val="24"/>
                <w:szCs w:val="24"/>
                <w:vertAlign w:val="baseline"/>
                <w:lang w:val="en-US" w:eastAsia="zh-CN"/>
              </w:rPr>
              <w:t>10月前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color w:val="auto"/>
                <w:sz w:val="24"/>
                <w:szCs w:val="24"/>
                <w:vertAlign w:val="baseline"/>
                <w:lang w:val="en-US" w:eastAsia="zh-CN"/>
              </w:rPr>
            </w:pPr>
            <w:r>
              <w:rPr>
                <w:rFonts w:hint="eastAsia" w:ascii="仿宋_GB2312" w:hAnsi="仿宋_GB2312" w:eastAsia="仿宋_GB2312" w:cs="仿宋_GB2312"/>
                <w:b w:val="0"/>
                <w:bCs w:val="0"/>
                <w:color w:val="auto"/>
                <w:sz w:val="24"/>
                <w:szCs w:val="24"/>
                <w:vertAlign w:val="baseline"/>
                <w:lang w:val="en-US" w:eastAsia="zh-CN"/>
              </w:rPr>
              <w:t>每月报送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jc w:val="center"/>
        </w:trPr>
        <w:tc>
          <w:tcPr>
            <w:tcW w:w="2723"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仿宋_GB2312" w:hAnsi="仿宋_GB2312" w:eastAsia="仿宋_GB2312" w:cs="仿宋_GB2312"/>
                <w:sz w:val="24"/>
                <w:szCs w:val="24"/>
                <w:lang w:val="en-US" w:eastAsia="zh-CN"/>
              </w:rPr>
              <w:t>17、落实司法所办公经费、人民调解经费足额到位，强化司法所队伍建设。</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sz w:val="24"/>
                <w:szCs w:val="24"/>
                <w:lang w:val="en-US" w:eastAsia="zh-CN"/>
              </w:rPr>
              <w:t>落实司法所办公经费、人民调解经费足额到位。强化司法所队伍建设，按要求配齐司法所首席人民调解员、社区矫正专职社工。</w:t>
            </w:r>
          </w:p>
        </w:tc>
        <w:tc>
          <w:tcPr>
            <w:tcW w:w="1189"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行财科</w:t>
            </w:r>
          </w:p>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基层科</w:t>
            </w:r>
          </w:p>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社矫科</w:t>
            </w:r>
          </w:p>
        </w:tc>
        <w:tc>
          <w:tcPr>
            <w:tcW w:w="1238" w:type="dxa"/>
            <w:textDirection w:val="lrTb"/>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10月前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按要求报送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0" w:hRule="atLeast"/>
          <w:jc w:val="center"/>
        </w:trPr>
        <w:tc>
          <w:tcPr>
            <w:tcW w:w="2723"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仿宋_GB2312" w:hAnsi="仿宋_GB2312" w:eastAsia="仿宋_GB2312" w:cs="仿宋_GB2312"/>
                <w:sz w:val="24"/>
                <w:szCs w:val="24"/>
                <w:lang w:val="en-US" w:eastAsia="zh-CN"/>
              </w:rPr>
              <w:t>18、以建设金泉社区法务工作室为重点，探索社区法务工作室运行新机制。</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val="en-US" w:eastAsia="zh-CN"/>
              </w:rPr>
              <w:t>加强法务工作室建设工作指导，结合金泉社区实际，打造独具特色的法务工作室，总结经验做法，予以全面推广。</w:t>
            </w:r>
          </w:p>
        </w:tc>
        <w:tc>
          <w:tcPr>
            <w:tcW w:w="1189"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基层科</w:t>
            </w:r>
          </w:p>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卓刀泉所</w:t>
            </w:r>
          </w:p>
        </w:tc>
        <w:tc>
          <w:tcPr>
            <w:tcW w:w="1238" w:type="dxa"/>
            <w:textDirection w:val="lrTb"/>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10月前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每月报送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0" w:hRule="atLeast"/>
          <w:jc w:val="center"/>
        </w:trPr>
        <w:tc>
          <w:tcPr>
            <w:tcW w:w="2723"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宋体" w:hAnsi="宋体" w:eastAsia="宋体" w:cs="宋体"/>
                <w:sz w:val="24"/>
                <w:szCs w:val="24"/>
                <w:lang w:val="en-US" w:eastAsia="zh-CN"/>
              </w:rPr>
            </w:pPr>
            <w:r>
              <w:rPr>
                <w:rFonts w:hint="eastAsia" w:ascii="仿宋_GB2312" w:hAnsi="仿宋_GB2312" w:eastAsia="仿宋_GB2312" w:cs="仿宋_GB2312"/>
                <w:sz w:val="24"/>
                <w:szCs w:val="24"/>
                <w:lang w:val="en-US" w:eastAsia="zh-CN"/>
              </w:rPr>
              <w:t>★19、全面推进法治建设工作达标。</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eastAsia="zh-CN"/>
              </w:rPr>
              <w:t>此项为区级绩效共性目标，具体要求见区法治办专项任务分解。</w:t>
            </w:r>
          </w:p>
        </w:tc>
        <w:tc>
          <w:tcPr>
            <w:tcW w:w="1189"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法宣科</w:t>
            </w:r>
          </w:p>
        </w:tc>
        <w:tc>
          <w:tcPr>
            <w:tcW w:w="1238" w:type="dxa"/>
            <w:textDirection w:val="lrTb"/>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10月前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每月报送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5" w:hRule="atLeast"/>
          <w:jc w:val="center"/>
        </w:trPr>
        <w:tc>
          <w:tcPr>
            <w:tcW w:w="2723"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仿宋_GB2312" w:hAnsi="仿宋_GB2312" w:eastAsia="仿宋_GB2312" w:cs="仿宋_GB2312"/>
                <w:sz w:val="24"/>
                <w:szCs w:val="24"/>
                <w:lang w:val="en-US" w:eastAsia="zh-CN"/>
              </w:rPr>
              <w:t>20、分类推进劳动人事争议调解工作，依法维护劳动者合法权益，构建和谐劳动关系。</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eastAsia="zh-CN"/>
              </w:rPr>
              <w:t>充分发挥劳动争议调委会及其他各级调委会作用，通过法律讲解、法律宣传等，为群众化解工伤赔偿纠纷、合同纠纷等劳动争议纠纷；为弱势群体提供法律援助服务，切实维护劳动者合法权益。</w:t>
            </w:r>
          </w:p>
        </w:tc>
        <w:tc>
          <w:tcPr>
            <w:tcW w:w="1189"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基层科</w:t>
            </w:r>
          </w:p>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法援科</w:t>
            </w:r>
          </w:p>
        </w:tc>
        <w:tc>
          <w:tcPr>
            <w:tcW w:w="1238" w:type="dxa"/>
            <w:textDirection w:val="lrTb"/>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10月前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每月报送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5" w:hRule="atLeast"/>
          <w:jc w:val="center"/>
        </w:trPr>
        <w:tc>
          <w:tcPr>
            <w:tcW w:w="2723"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仿宋_GB2312" w:hAnsi="仿宋_GB2312" w:eastAsia="仿宋_GB2312" w:cs="仿宋_GB2312"/>
                <w:sz w:val="24"/>
                <w:szCs w:val="24"/>
                <w:lang w:val="en-US" w:eastAsia="zh-CN"/>
              </w:rPr>
              <w:t>21、加强社区禁毒、戒毒工作。</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eastAsia="zh-CN"/>
              </w:rPr>
              <w:t>通过举办法律讲座、发放宣传资料、提供法律咨询等，加大《禁毒法》宣传力度，强化群众禁毒意识；加强相关社区服刑人员和刑释人员走访排查，避免“两类”人员重新违法犯罪。</w:t>
            </w:r>
          </w:p>
        </w:tc>
        <w:tc>
          <w:tcPr>
            <w:tcW w:w="1189"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法宣科</w:t>
            </w:r>
          </w:p>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社矫科</w:t>
            </w:r>
          </w:p>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各司法所</w:t>
            </w:r>
          </w:p>
        </w:tc>
        <w:tc>
          <w:tcPr>
            <w:tcW w:w="1238" w:type="dxa"/>
            <w:textDirection w:val="lrTb"/>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10月前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按要求报送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0" w:hRule="atLeast"/>
          <w:jc w:val="center"/>
        </w:trPr>
        <w:tc>
          <w:tcPr>
            <w:tcW w:w="2723"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color w:val="auto"/>
                <w:sz w:val="24"/>
                <w:szCs w:val="24"/>
                <w:lang w:val="en-US" w:eastAsia="zh-CN"/>
              </w:rPr>
              <w:t>■★</w:t>
            </w:r>
            <w:r>
              <w:rPr>
                <w:rFonts w:hint="eastAsia" w:ascii="仿宋_GB2312" w:hAnsi="仿宋_GB2312" w:eastAsia="仿宋_GB2312" w:cs="仿宋_GB2312"/>
                <w:color w:val="auto"/>
                <w:sz w:val="24"/>
                <w:szCs w:val="24"/>
                <w:lang w:val="en-US" w:eastAsia="zh-CN"/>
              </w:rPr>
              <w:t>●22、严格落实党风廉政建设主体责任和监督责任，坚决查处违反中央八项规定的行为；强化党风廉政建设和纪律作风宣传教育，深化履职尽责情况的监督，坚决整治和查处侵害群众利益的突出问题，防止“四风”反弹。</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eastAsia="zh-CN"/>
              </w:rPr>
              <w:t>贯彻落实党风廉政建设“两个责任”，做好相关情况汇报和迎检准备；按照扩大后“两个责任”清单范围，进一步健全制度、细化责任，抓好“两个责任”落实情况台账管理，实行痕迹管理制度；加强党风廉政建设和纪律作风宣传教育，深化治庸问责，强化履职尽责监督和“四风”突出问题整治查处。</w:t>
            </w:r>
          </w:p>
        </w:tc>
        <w:tc>
          <w:tcPr>
            <w:tcW w:w="1189"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纪检</w:t>
            </w:r>
          </w:p>
        </w:tc>
        <w:tc>
          <w:tcPr>
            <w:tcW w:w="1238" w:type="dxa"/>
            <w:textDirection w:val="lrTb"/>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10月前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按要求报送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0" w:hRule="atLeast"/>
          <w:jc w:val="center"/>
        </w:trPr>
        <w:tc>
          <w:tcPr>
            <w:tcW w:w="2723"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color w:val="auto"/>
                <w:sz w:val="24"/>
                <w:szCs w:val="24"/>
                <w:lang w:val="en-US" w:eastAsia="zh-CN"/>
              </w:rPr>
              <w:t>■★</w:t>
            </w:r>
            <w:r>
              <w:rPr>
                <w:rFonts w:hint="eastAsia" w:ascii="仿宋_GB2312" w:hAnsi="仿宋_GB2312" w:eastAsia="仿宋_GB2312" w:cs="仿宋_GB2312"/>
                <w:color w:val="auto"/>
                <w:sz w:val="24"/>
                <w:szCs w:val="24"/>
                <w:lang w:val="en-US" w:eastAsia="zh-CN"/>
              </w:rPr>
              <w:t>●23、持续深入加强理想信念教育，不断提升广大党员干部的精神区位；全面落实领导班子思想政治建设，加强基层党组织建设，抓好各项学习教育活动；完成上级下达的干部培训任务，积极组织开展本区司法干部培训。</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健全学习型党组织建设工作机制，</w:t>
            </w:r>
            <w:r>
              <w:rPr>
                <w:rFonts w:hint="eastAsia" w:ascii="仿宋_GB2312" w:hAnsi="仿宋_GB2312" w:eastAsia="仿宋_GB2312" w:cs="仿宋_GB2312"/>
                <w:color w:val="000000"/>
                <w:sz w:val="24"/>
                <w:szCs w:val="24"/>
                <w:lang w:eastAsia="zh-CN"/>
              </w:rPr>
              <w:t>开展党组</w:t>
            </w:r>
            <w:r>
              <w:rPr>
                <w:rFonts w:hint="eastAsia" w:ascii="仿宋_GB2312" w:hAnsi="仿宋_GB2312" w:eastAsia="仿宋_GB2312" w:cs="仿宋_GB2312"/>
                <w:color w:val="000000"/>
                <w:sz w:val="24"/>
                <w:szCs w:val="24"/>
              </w:rPr>
              <w:t>中心组学习每月1次，全年达12次</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其中联组学习1次以上</w:t>
            </w:r>
            <w:r>
              <w:rPr>
                <w:rFonts w:hint="eastAsia" w:ascii="仿宋_GB2312" w:hAnsi="仿宋_GB2312" w:eastAsia="仿宋_GB2312" w:cs="仿宋_GB2312"/>
                <w:color w:val="000000"/>
                <w:sz w:val="24"/>
                <w:szCs w:val="24"/>
                <w:lang w:eastAsia="zh-CN"/>
              </w:rPr>
              <w:t>；督促党组中心组成员每年自学时间不少于300小时，完成学习心得体会或调研文章1篇以上，开展理论宣讲</w:t>
            </w:r>
            <w:r>
              <w:rPr>
                <w:rFonts w:hint="eastAsia" w:ascii="仿宋_GB2312" w:hAnsi="仿宋_GB2312" w:eastAsia="仿宋_GB2312" w:cs="仿宋_GB2312"/>
                <w:color w:val="000000"/>
                <w:sz w:val="24"/>
                <w:szCs w:val="24"/>
                <w:lang w:val="en-US" w:eastAsia="zh-CN"/>
              </w:rPr>
              <w:t>1场次；实施党员“双育计划”，按照《洪山区2015-2018党员教育培训工作实施方案》，开展重点培训；积极举办局干警职工业务培训和政策知识宣讲。</w:t>
            </w:r>
          </w:p>
        </w:tc>
        <w:tc>
          <w:tcPr>
            <w:tcW w:w="1189"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政治处</w:t>
            </w:r>
          </w:p>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总支</w:t>
            </w:r>
          </w:p>
        </w:tc>
        <w:tc>
          <w:tcPr>
            <w:tcW w:w="1238" w:type="dxa"/>
            <w:textDirection w:val="lrTb"/>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10月前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按要求报送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5" w:hRule="atLeast"/>
          <w:jc w:val="center"/>
        </w:trPr>
        <w:tc>
          <w:tcPr>
            <w:tcW w:w="2723"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sz w:val="24"/>
                <w:szCs w:val="24"/>
                <w:lang w:val="en-US" w:eastAsia="zh-CN"/>
              </w:rPr>
              <w:t>★</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color w:val="000000"/>
                <w:sz w:val="24"/>
                <w:szCs w:val="24"/>
                <w:lang w:val="en-US" w:eastAsia="zh-CN"/>
              </w:rPr>
              <w:t>24、全面落实管党治党政治责任，践行“三严三实”要求，认真贯彻落实党章和廉洁自律准则、纪律处分条例等党纪党规，切实把纪律和规矩挺在前面。</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eastAsia="zh-CN"/>
              </w:rPr>
              <w:t>按要求</w:t>
            </w:r>
            <w:r>
              <w:rPr>
                <w:rFonts w:hint="eastAsia" w:ascii="仿宋_GB2312" w:hAnsi="仿宋_GB2312" w:eastAsia="仿宋_GB2312" w:cs="仿宋_GB2312"/>
                <w:color w:val="000000"/>
                <w:sz w:val="24"/>
                <w:szCs w:val="24"/>
              </w:rPr>
              <w:t>认真组织开展“两学一做”活动，把《准则》、《条例》的学习教育作为党建工作的重要内容</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加强干部教育管理，深化整改立规，推动践行“三严三实”要求制度化、常态化、长效化</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全面落实《条例》责任分解方案</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参照区委责任分解模式</w:t>
            </w:r>
            <w:r>
              <w:rPr>
                <w:rFonts w:hint="eastAsia" w:ascii="仿宋_GB2312" w:hAnsi="仿宋_GB2312" w:eastAsia="仿宋_GB2312" w:cs="仿宋_GB2312"/>
                <w:color w:val="000000"/>
                <w:sz w:val="24"/>
                <w:szCs w:val="24"/>
                <w:lang w:eastAsia="zh-CN"/>
              </w:rPr>
              <w:t>进行责任分解</w:t>
            </w:r>
            <w:r>
              <w:rPr>
                <w:rFonts w:hint="eastAsia" w:ascii="仿宋_GB2312" w:hAnsi="仿宋_GB2312" w:eastAsia="仿宋_GB2312" w:cs="仿宋_GB2312"/>
                <w:color w:val="000000"/>
                <w:sz w:val="24"/>
                <w:szCs w:val="24"/>
              </w:rPr>
              <w:t>，促进责任压力层层传导到位，形成遵守党章、维护党纪的良好风尚。</w:t>
            </w:r>
          </w:p>
        </w:tc>
        <w:tc>
          <w:tcPr>
            <w:tcW w:w="1189"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政治处</w:t>
            </w:r>
          </w:p>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纪检</w:t>
            </w:r>
          </w:p>
        </w:tc>
        <w:tc>
          <w:tcPr>
            <w:tcW w:w="1238" w:type="dxa"/>
            <w:textDirection w:val="lrTb"/>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10月前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按要求报送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5" w:hRule="atLeast"/>
          <w:jc w:val="center"/>
        </w:trPr>
        <w:tc>
          <w:tcPr>
            <w:tcW w:w="2723"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sz w:val="24"/>
                <w:szCs w:val="24"/>
                <w:highlight w:val="none"/>
                <w:lang w:val="en-US" w:eastAsia="zh-CN"/>
              </w:rPr>
              <w:t>●</w:t>
            </w:r>
            <w:r>
              <w:rPr>
                <w:rFonts w:hint="eastAsia" w:ascii="仿宋_GB2312" w:hAnsi="仿宋_GB2312" w:eastAsia="仿宋_GB2312" w:cs="仿宋_GB2312"/>
                <w:color w:val="000000"/>
                <w:sz w:val="24"/>
                <w:szCs w:val="24"/>
                <w:highlight w:val="none"/>
                <w:lang w:val="en-US" w:eastAsia="zh-CN"/>
              </w:rPr>
              <w:t>25、文明城市创建成果进一步巩固提升；</w:t>
            </w:r>
            <w:r>
              <w:rPr>
                <w:rFonts w:hint="eastAsia" w:ascii="仿宋_GB2312" w:hAnsi="仿宋_GB2312" w:eastAsia="仿宋_GB2312" w:cs="仿宋_GB2312"/>
                <w:color w:val="000000"/>
                <w:sz w:val="24"/>
                <w:szCs w:val="24"/>
                <w:highlight w:val="none"/>
                <w:lang w:eastAsia="zh-CN"/>
              </w:rPr>
              <w:t>贯彻落实城区文明程度指数测评体系，全年在全市测评排名中列中心城区前3；全面推进文明城市建设“十大工程”。</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lang w:val="en-US" w:eastAsia="zh-CN"/>
              </w:rPr>
              <w:t>1、</w:t>
            </w:r>
            <w:r>
              <w:rPr>
                <w:rFonts w:hint="eastAsia" w:ascii="仿宋_GB2312" w:hAnsi="仿宋_GB2312" w:eastAsia="仿宋_GB2312" w:cs="仿宋_GB2312"/>
                <w:color w:val="000000"/>
                <w:sz w:val="24"/>
                <w:szCs w:val="24"/>
                <w:highlight w:val="none"/>
                <w:lang w:eastAsia="zh-CN"/>
              </w:rPr>
              <w:t>按照</w:t>
            </w:r>
            <w:r>
              <w:rPr>
                <w:rFonts w:hint="eastAsia" w:ascii="仿宋_GB2312" w:hAnsi="仿宋_GB2312" w:eastAsia="仿宋_GB2312" w:cs="仿宋_GB2312"/>
                <w:color w:val="000000"/>
                <w:sz w:val="24"/>
                <w:szCs w:val="24"/>
                <w:highlight w:val="none"/>
              </w:rPr>
              <w:t>《全国文明城市测评体系》和《全国未成年人思想道德建设工作测评体系》</w:t>
            </w:r>
            <w:r>
              <w:rPr>
                <w:rFonts w:hint="eastAsia" w:ascii="仿宋_GB2312" w:hAnsi="仿宋_GB2312" w:eastAsia="仿宋_GB2312" w:cs="仿宋_GB2312"/>
                <w:color w:val="000000"/>
                <w:sz w:val="24"/>
                <w:szCs w:val="24"/>
                <w:highlight w:val="none"/>
                <w:lang w:eastAsia="zh-CN"/>
              </w:rPr>
              <w:t>要求，开展文明创建活动和动态管理工作，做好</w:t>
            </w:r>
            <w:r>
              <w:rPr>
                <w:rFonts w:hint="eastAsia" w:ascii="仿宋_GB2312" w:hAnsi="仿宋_GB2312" w:eastAsia="仿宋_GB2312" w:cs="仿宋_GB2312"/>
                <w:color w:val="000000"/>
                <w:sz w:val="24"/>
                <w:szCs w:val="24"/>
                <w:highlight w:val="none"/>
              </w:rPr>
              <w:t>城区文明程度指数和未成年人思想道德建设指数</w:t>
            </w:r>
            <w:r>
              <w:rPr>
                <w:rFonts w:hint="eastAsia" w:ascii="仿宋_GB2312" w:hAnsi="仿宋_GB2312" w:eastAsia="仿宋_GB2312" w:cs="仿宋_GB2312"/>
                <w:color w:val="000000"/>
                <w:sz w:val="24"/>
                <w:szCs w:val="24"/>
                <w:highlight w:val="none"/>
                <w:lang w:eastAsia="zh-CN"/>
              </w:rPr>
              <w:t>双月测评准备。</w:t>
            </w:r>
          </w:p>
        </w:tc>
        <w:tc>
          <w:tcPr>
            <w:tcW w:w="1189" w:type="dxa"/>
            <w:vMerge w:val="restart"/>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政治处</w:t>
            </w:r>
          </w:p>
        </w:tc>
        <w:tc>
          <w:tcPr>
            <w:tcW w:w="1238" w:type="dxa"/>
            <w:vMerge w:val="restart"/>
            <w:textDirection w:val="lrTb"/>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highlight w:val="none"/>
                <w:vertAlign w:val="baseline"/>
                <w:lang w:val="en-US" w:eastAsia="zh-CN"/>
              </w:rPr>
            </w:pPr>
            <w:r>
              <w:rPr>
                <w:rFonts w:hint="eastAsia" w:ascii="仿宋_GB2312" w:hAnsi="仿宋_GB2312" w:eastAsia="仿宋_GB2312" w:cs="仿宋_GB2312"/>
                <w:b w:val="0"/>
                <w:bCs w:val="0"/>
                <w:sz w:val="24"/>
                <w:szCs w:val="24"/>
                <w:highlight w:val="none"/>
                <w:vertAlign w:val="baseline"/>
                <w:lang w:val="en-US" w:eastAsia="zh-CN"/>
              </w:rPr>
              <w:t>10月前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highlight w:val="none"/>
                <w:vertAlign w:val="baseline"/>
                <w:lang w:val="en-US" w:eastAsia="zh-CN"/>
              </w:rPr>
            </w:pPr>
            <w:r>
              <w:rPr>
                <w:rFonts w:hint="eastAsia" w:ascii="仿宋_GB2312" w:hAnsi="仿宋_GB2312" w:eastAsia="仿宋_GB2312" w:cs="仿宋_GB2312"/>
                <w:b w:val="0"/>
                <w:bCs w:val="0"/>
                <w:sz w:val="24"/>
                <w:szCs w:val="24"/>
                <w:highlight w:val="none"/>
                <w:vertAlign w:val="baseline"/>
                <w:lang w:val="en-US" w:eastAsia="zh-CN"/>
              </w:rPr>
              <w:t>按要求报送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jc w:val="center"/>
        </w:trPr>
        <w:tc>
          <w:tcPr>
            <w:tcW w:w="2723"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val="en-US" w:eastAsia="zh-CN"/>
              </w:rPr>
            </w:pP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lang w:eastAsia="zh-CN"/>
              </w:rPr>
              <w:t>按照</w:t>
            </w:r>
            <w:r>
              <w:rPr>
                <w:rFonts w:hint="eastAsia" w:ascii="仿宋_GB2312" w:hAnsi="仿宋_GB2312" w:eastAsia="仿宋_GB2312" w:cs="仿宋_GB2312"/>
                <w:color w:val="000000"/>
                <w:sz w:val="24"/>
                <w:szCs w:val="24"/>
              </w:rPr>
              <w:t>《洪山区文明城市建设十大工程2016年行动计划重点工作责任清单》，推进落实文明城市建设“十大工程”工作</w:t>
            </w:r>
            <w:r>
              <w:rPr>
                <w:rFonts w:hint="eastAsia" w:ascii="仿宋_GB2312" w:hAnsi="仿宋_GB2312" w:eastAsia="仿宋_GB2312" w:cs="仿宋_GB2312"/>
                <w:color w:val="000000"/>
                <w:sz w:val="24"/>
                <w:szCs w:val="24"/>
                <w:lang w:eastAsia="zh-CN"/>
              </w:rPr>
              <w:t>，年底上报</w:t>
            </w:r>
            <w:r>
              <w:rPr>
                <w:rFonts w:hint="eastAsia" w:ascii="仿宋_GB2312" w:hAnsi="仿宋_GB2312" w:eastAsia="仿宋_GB2312" w:cs="仿宋_GB2312"/>
                <w:color w:val="000000"/>
                <w:sz w:val="24"/>
                <w:szCs w:val="24"/>
              </w:rPr>
              <w:t>全年完成情况总结。</w:t>
            </w:r>
          </w:p>
        </w:tc>
        <w:tc>
          <w:tcPr>
            <w:tcW w:w="118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p>
        </w:tc>
        <w:tc>
          <w:tcPr>
            <w:tcW w:w="1238" w:type="dxa"/>
            <w:vMerge w:val="continue"/>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5" w:hRule="atLeast"/>
          <w:jc w:val="center"/>
        </w:trPr>
        <w:tc>
          <w:tcPr>
            <w:tcW w:w="2723"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color w:val="000000"/>
                <w:sz w:val="24"/>
                <w:szCs w:val="24"/>
                <w:lang w:val="en-US" w:eastAsia="zh-CN"/>
              </w:rPr>
              <w:t>26、转变工作作风、加强党建、制度建设、队伍建设等共性目标。</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eastAsia="zh-CN"/>
              </w:rPr>
              <w:t>为区委“十三五”任务分解目标中的共性指标，详见目标任务清单，需按单项工作要求予以完成。</w:t>
            </w:r>
          </w:p>
        </w:tc>
        <w:tc>
          <w:tcPr>
            <w:tcW w:w="1189"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政治处</w:t>
            </w:r>
          </w:p>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b/>
                <w:bCs/>
                <w:color w:val="000000"/>
                <w:sz w:val="24"/>
                <w:szCs w:val="24"/>
                <w:lang w:val="en-US" w:eastAsia="zh-CN"/>
              </w:rPr>
            </w:pPr>
            <w:r>
              <w:rPr>
                <w:rFonts w:hint="eastAsia" w:ascii="仿宋_GB2312" w:hAnsi="仿宋_GB2312" w:eastAsia="仿宋_GB2312" w:cs="仿宋_GB2312"/>
                <w:color w:val="000000"/>
                <w:sz w:val="24"/>
                <w:szCs w:val="24"/>
                <w:lang w:val="en-US" w:eastAsia="zh-CN"/>
              </w:rPr>
              <w:t>纪检</w:t>
            </w:r>
          </w:p>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总支</w:t>
            </w:r>
          </w:p>
        </w:tc>
        <w:tc>
          <w:tcPr>
            <w:tcW w:w="1238" w:type="dxa"/>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10月前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按要求报送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0" w:hRule="atLeast"/>
          <w:jc w:val="center"/>
        </w:trPr>
        <w:tc>
          <w:tcPr>
            <w:tcW w:w="2723"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color w:val="000000"/>
                <w:sz w:val="24"/>
                <w:szCs w:val="24"/>
                <w:lang w:val="en-US" w:eastAsia="zh-CN"/>
              </w:rPr>
              <w:t>27、认真做好“十三五”规划目标任务分解，制定时间表、路线图、项目清单和责任清单，强化干部绩效考核评价，以钉钉子精神推动“十三五”规划落地生根。</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eastAsia="zh-CN"/>
              </w:rPr>
              <w:t>按照</w:t>
            </w:r>
            <w:r>
              <w:rPr>
                <w:rFonts w:hint="eastAsia" w:ascii="仿宋_GB2312" w:hAnsi="仿宋_GB2312" w:eastAsia="仿宋_GB2312" w:cs="仿宋_GB2312"/>
                <w:color w:val="000000"/>
                <w:sz w:val="24"/>
                <w:szCs w:val="24"/>
              </w:rPr>
              <w:t>《中共洪山区委关于制定全区国民经济和社会发展第十三个五年规划的建议》</w:t>
            </w:r>
            <w:r>
              <w:rPr>
                <w:rFonts w:hint="eastAsia" w:ascii="仿宋_GB2312" w:hAnsi="仿宋_GB2312" w:eastAsia="仿宋_GB2312" w:cs="仿宋_GB2312"/>
                <w:color w:val="000000"/>
                <w:sz w:val="24"/>
                <w:szCs w:val="24"/>
                <w:lang w:eastAsia="zh-CN"/>
              </w:rPr>
              <w:t>的责任分解方案，积极推进落实各项目标工作任务；加强绩效指标推进过程跟踪管理，建立电子绩效台账，落实月报季检制度，及时发现指标实施过程中存在的问题和偏差，确保绩效管理工作落到实处。</w:t>
            </w:r>
          </w:p>
        </w:tc>
        <w:tc>
          <w:tcPr>
            <w:tcW w:w="1189"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办公室</w:t>
            </w:r>
          </w:p>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政治处</w:t>
            </w:r>
          </w:p>
        </w:tc>
        <w:tc>
          <w:tcPr>
            <w:tcW w:w="1238" w:type="dxa"/>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10月前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按要求报送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0" w:hRule="atLeast"/>
          <w:jc w:val="center"/>
        </w:trPr>
        <w:tc>
          <w:tcPr>
            <w:tcW w:w="2723"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color w:val="000000"/>
                <w:sz w:val="24"/>
                <w:szCs w:val="24"/>
                <w:lang w:val="en-US" w:eastAsia="zh-CN"/>
              </w:rPr>
              <w:t>28、大力整治为官不为，切实做到庸退优进、能上能下，以坚决果断的措施刷新吏治，努力打造一支讲政治、守规矩、有作为的干部队伍。</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严格干部日常管理，加</w:t>
            </w:r>
            <w:r>
              <w:rPr>
                <w:rFonts w:hint="eastAsia" w:ascii="仿宋_GB2312" w:hAnsi="仿宋_GB2312" w:eastAsia="仿宋_GB2312" w:cs="仿宋_GB2312"/>
                <w:color w:val="000000"/>
                <w:sz w:val="24"/>
                <w:szCs w:val="24"/>
                <w:lang w:eastAsia="zh-CN"/>
              </w:rPr>
              <w:t>强干部任前监督，畅通干部能上能下渠道；</w:t>
            </w:r>
            <w:r>
              <w:rPr>
                <w:rFonts w:hint="eastAsia" w:ascii="仿宋_GB2312" w:hAnsi="仿宋_GB2312" w:eastAsia="仿宋_GB2312" w:cs="仿宋_GB2312"/>
                <w:color w:val="000000"/>
                <w:sz w:val="24"/>
                <w:szCs w:val="24"/>
              </w:rPr>
              <w:t>从严审批领导干部因私出国（境），规范管理领导干部社团兼职，严格执行领导干部个人有关事项报告制度。</w:t>
            </w:r>
          </w:p>
        </w:tc>
        <w:tc>
          <w:tcPr>
            <w:tcW w:w="1189"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政治处</w:t>
            </w:r>
          </w:p>
        </w:tc>
        <w:tc>
          <w:tcPr>
            <w:tcW w:w="1238" w:type="dxa"/>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10月前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每月报送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5" w:hRule="atLeast"/>
          <w:jc w:val="center"/>
        </w:trPr>
        <w:tc>
          <w:tcPr>
            <w:tcW w:w="2723"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仿宋_GB2312" w:hAnsi="仿宋_GB2312" w:eastAsia="仿宋_GB2312" w:cs="仿宋_GB2312"/>
                <w:sz w:val="24"/>
                <w:szCs w:val="24"/>
                <w:lang w:val="en-US" w:eastAsia="zh-CN"/>
              </w:rPr>
              <w:t>29、完成市局下达的司法行政系统信息调研目标任务，积极推进信息化工作，做好信访工作，保证信访受理、查处率达到100%。</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sz w:val="24"/>
                <w:szCs w:val="24"/>
                <w:lang w:val="en-US" w:eastAsia="zh-CN"/>
              </w:rPr>
              <w:t>完成市局下达的司法行政系统信息调研目标任务；积极推进信息化工作，完善门户网站建设，加大政务公开力度；做好信访工作，保证信访受理、查处率达到100%。</w:t>
            </w:r>
          </w:p>
        </w:tc>
        <w:tc>
          <w:tcPr>
            <w:tcW w:w="1189"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办公室</w:t>
            </w:r>
          </w:p>
        </w:tc>
        <w:tc>
          <w:tcPr>
            <w:tcW w:w="1238" w:type="dxa"/>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10月前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每月报送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jc w:val="center"/>
        </w:trPr>
        <w:tc>
          <w:tcPr>
            <w:tcW w:w="2723"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宋体" w:hAnsi="宋体" w:eastAsia="宋体" w:cs="宋体"/>
                <w:sz w:val="24"/>
                <w:szCs w:val="24"/>
                <w:lang w:val="en-US" w:eastAsia="zh-CN"/>
              </w:rPr>
            </w:pPr>
            <w:r>
              <w:rPr>
                <w:rFonts w:hint="eastAsia" w:ascii="仿宋_GB2312" w:hAnsi="仿宋_GB2312" w:eastAsia="仿宋_GB2312" w:cs="仿宋_GB2312"/>
                <w:sz w:val="24"/>
                <w:szCs w:val="24"/>
                <w:lang w:val="en-US" w:eastAsia="zh-CN"/>
              </w:rPr>
              <w:t>★30、办理市、区长专线投诉件工作达标</w:t>
            </w:r>
            <w:r>
              <w:rPr>
                <w:rFonts w:hint="eastAsia" w:ascii="宋体" w:hAnsi="宋体" w:eastAsia="宋体" w:cs="宋体"/>
                <w:sz w:val="24"/>
                <w:szCs w:val="24"/>
                <w:lang w:val="en-US" w:eastAsia="zh-CN"/>
              </w:rPr>
              <w:t>。</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及时回复、妥善处理市区长专线投诉案件，协调相关部门运用司法行政职能解决群众现实困难问题，对无法立即解决的问题做好说服解释工作，避免事态扩大。</w:t>
            </w:r>
          </w:p>
        </w:tc>
        <w:tc>
          <w:tcPr>
            <w:tcW w:w="1189"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办公室</w:t>
            </w:r>
          </w:p>
        </w:tc>
        <w:tc>
          <w:tcPr>
            <w:tcW w:w="1238" w:type="dxa"/>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10月前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每月报送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jc w:val="center"/>
        </w:trPr>
        <w:tc>
          <w:tcPr>
            <w:tcW w:w="2723"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★31、社会治安综合治理、信访稳定工作达标。</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eastAsia="zh-CN"/>
              </w:rPr>
              <w:t>此项为区级绩效共性目标，具体要求见区综治办、区信访局专项任务分解。</w:t>
            </w:r>
          </w:p>
        </w:tc>
        <w:tc>
          <w:tcPr>
            <w:tcW w:w="1189"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办公室</w:t>
            </w:r>
          </w:p>
        </w:tc>
        <w:tc>
          <w:tcPr>
            <w:tcW w:w="1238" w:type="dxa"/>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10月前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每月报送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 w:hRule="atLeast"/>
          <w:jc w:val="center"/>
        </w:trPr>
        <w:tc>
          <w:tcPr>
            <w:tcW w:w="2723"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★32、计划生育工作达标。</w:t>
            </w:r>
          </w:p>
        </w:tc>
        <w:tc>
          <w:tcPr>
            <w:tcW w:w="5561" w:type="dxa"/>
            <w:textDirection w:val="lrTb"/>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eastAsia="zh-CN"/>
              </w:rPr>
              <w:t>此项为区级绩效共性目标，具体要求见相关部门专项任务分解。</w:t>
            </w:r>
          </w:p>
        </w:tc>
        <w:tc>
          <w:tcPr>
            <w:tcW w:w="1189"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政治处</w:t>
            </w:r>
          </w:p>
        </w:tc>
        <w:tc>
          <w:tcPr>
            <w:tcW w:w="1238" w:type="dxa"/>
            <w:vAlign w:val="center"/>
          </w:tcPr>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10月前</w:t>
            </w:r>
          </w:p>
          <w:p>
            <w:pPr>
              <w:keepNext w:val="0"/>
              <w:keepLines w:val="0"/>
              <w:pageBreakBefore w:val="0"/>
              <w:widowControl w:val="0"/>
              <w:kinsoku/>
              <w:wordWrap/>
              <w:overflowPunct/>
              <w:topLinePunct w:val="0"/>
              <w:autoSpaceDE/>
              <w:autoSpaceDN/>
              <w:bidi w:val="0"/>
              <w:adjustRightInd/>
              <w:spacing w:line="280" w:lineRule="exact"/>
              <w:ind w:left="0" w:leftChars="0" w:right="0" w:rightChars="0" w:firstLine="0" w:firstLineChars="0"/>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按要求报送</w:t>
            </w:r>
          </w:p>
        </w:tc>
      </w:tr>
    </w:tbl>
    <w:p>
      <w:pPr>
        <w:keepNext w:val="0"/>
        <w:keepLines w:val="0"/>
        <w:pageBreakBefore w:val="0"/>
        <w:widowControl w:val="0"/>
        <w:kinsoku/>
        <w:wordWrap/>
        <w:overflowPunct/>
        <w:topLinePunct w:val="0"/>
        <w:autoSpaceDE/>
        <w:autoSpaceDN/>
        <w:bidi w:val="0"/>
        <w:adjustRightInd/>
        <w:snapToGrid/>
        <w:spacing w:line="20" w:lineRule="exact"/>
        <w:ind w:left="0" w:leftChars="0" w:right="-640" w:rightChars="-305" w:firstLine="0" w:firstLineChars="0"/>
        <w:jc w:val="both"/>
        <w:textAlignment w:val="auto"/>
        <w:outlineLvl w:val="9"/>
        <w:rPr>
          <w:rFonts w:hint="eastAsia" w:eastAsiaTheme="minorEastAsia"/>
          <w:lang w:eastAsia="zh-CN"/>
        </w:rPr>
      </w:pPr>
    </w:p>
    <w:sectPr>
      <w:pgSz w:w="11880" w:h="16781" w:orient="landscape"/>
      <w:pgMar w:top="1134" w:right="1134" w:bottom="1134" w:left="1134" w:header="851" w:footer="992" w:gutter="0"/>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方正小标宋简体">
    <w:panose1 w:val="03000509000000000000"/>
    <w:charset w:val="86"/>
    <w:family w:val="script"/>
    <w:pitch w:val="default"/>
    <w:sig w:usb0="00000001" w:usb1="080E0000" w:usb2="00000000" w:usb3="00000000" w:csb0="00040000" w:csb1="00000000"/>
  </w:font>
  <w:font w:name="宋体-PUA">
    <w:altName w:val="宋体"/>
    <w:panose1 w:val="02010600030101010101"/>
    <w:charset w:val="86"/>
    <w:family w:val="auto"/>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decorative"/>
    <w:pitch w:val="default"/>
    <w:sig w:usb0="800002BF" w:usb1="38CF7CFA" w:usb2="00000016" w:usb3="00000000" w:csb0="00040001" w:csb1="00000000"/>
  </w:font>
  <w:font w:name="Calibri Light">
    <w:panose1 w:val="020F0302020204030204"/>
    <w:charset w:val="00"/>
    <w:family w:val="roman"/>
    <w:pitch w:val="default"/>
    <w:sig w:usb0="A00002EF" w:usb1="4000207B" w:usb2="00000000" w:usb3="00000000" w:csb0="2000019F" w:csb1="00000000"/>
  </w:font>
  <w:font w:name="仿宋">
    <w:panose1 w:val="02010609060101010101"/>
    <w:charset w:val="86"/>
    <w:family w:val="roman"/>
    <w:pitch w:val="default"/>
    <w:sig w:usb0="800002BF" w:usb1="38CF7CFA" w:usb2="00000016" w:usb3="00000000" w:csb0="00040001" w:csb1="00000000"/>
  </w:font>
  <w:font w:name="Calibri Light">
    <w:panose1 w:val="020F0302020204030204"/>
    <w:charset w:val="00"/>
    <w:family w:val="modern"/>
    <w:pitch w:val="default"/>
    <w:sig w:usb0="A00002EF" w:usb1="4000207B"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swiss"/>
    <w:pitch w:val="default"/>
    <w:sig w:usb0="800002BF" w:usb1="38CF7CFA" w:usb2="00000016" w:usb3="00000000" w:csb0="00040001" w:csb1="00000000"/>
  </w:font>
  <w:font w:name="Calibri Light">
    <w:panose1 w:val="020F0302020204030204"/>
    <w:charset w:val="00"/>
    <w:family w:val="decorative"/>
    <w:pitch w:val="default"/>
    <w:sig w:usb0="A00002EF" w:usb1="4000207B" w:usb2="00000000" w:usb3="00000000" w:csb0="2000019F" w:csb1="00000000"/>
  </w:font>
  <w:font w:name="仿宋_GB2312">
    <w:panose1 w:val="02010609030101010101"/>
    <w:charset w:val="86"/>
    <w:family w:val="swiss"/>
    <w:pitch w:val="default"/>
    <w:sig w:usb0="00000001" w:usb1="080E0000" w:usb2="00000000" w:usb3="00000000" w:csb0="00040000" w:csb1="00000000"/>
  </w:font>
  <w:font w:name="仿宋_GB2312">
    <w:panose1 w:val="02010609030101010101"/>
    <w:charset w:val="86"/>
    <w:family w:val="decorative"/>
    <w:pitch w:val="default"/>
    <w:sig w:usb0="00000001" w:usb1="080E0000" w:usb2="00000000" w:usb3="00000000" w:csb0="00040000" w:csb1="00000000"/>
  </w:font>
  <w:font w:name="Hiragino Sans GB">
    <w:altName w:val="仿宋_GB2312"/>
    <w:panose1 w:val="00000000000000000000"/>
    <w:charset w:val="00"/>
    <w:family w:val="decorative"/>
    <w:pitch w:val="default"/>
    <w:sig w:usb0="00000000" w:usb1="00000000" w:usb2="00000000" w:usb3="00000000" w:csb0="00040001" w:csb1="00000000"/>
  </w:font>
  <w:font w:name="ˎ̥">
    <w:altName w:val="Times New Roman"/>
    <w:panose1 w:val="00000000000000000000"/>
    <w:charset w:val="00"/>
    <w:family w:val="decorative"/>
    <w:pitch w:val="default"/>
    <w:sig w:usb0="00000000" w:usb1="00000000" w:usb2="00000000" w:usb3="00000000" w:csb0="00040001" w:csb1="00000000"/>
  </w:font>
  <w:font w:name="楷体_GB2312">
    <w:panose1 w:val="02010609030101010101"/>
    <w:charset w:val="86"/>
    <w:family w:val="decorative"/>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Hiragino Sans GB">
    <w:altName w:val="仿宋_GB2312"/>
    <w:panose1 w:val="00000000000000000000"/>
    <w:charset w:val="00"/>
    <w:family w:val="roman"/>
    <w:pitch w:val="default"/>
    <w:sig w:usb0="00000000" w:usb1="00000000" w:usb2="00000000"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楷体_GB2312">
    <w:panose1 w:val="02010609030101010101"/>
    <w:charset w:val="86"/>
    <w:family w:val="roman"/>
    <w:pitch w:val="default"/>
    <w:sig w:usb0="00000001" w:usb1="080E0000" w:usb2="00000000" w:usb3="00000000" w:csb0="00040000" w:csb1="00000000"/>
  </w:font>
  <w:font w:name="Hiragino Sans GB">
    <w:altName w:val="仿宋_GB2312"/>
    <w:panose1 w:val="00000000000000000000"/>
    <w:charset w:val="00"/>
    <w:family w:val="modern"/>
    <w:pitch w:val="default"/>
    <w:sig w:usb0="00000000" w:usb1="00000000" w:usb2="00000000" w:usb3="00000000" w:csb0="00040001" w:csb1="00000000"/>
  </w:font>
  <w:font w:name="ˎ̥">
    <w:altName w:val="Times New Roman"/>
    <w:panose1 w:val="00000000000000000000"/>
    <w:charset w:val="00"/>
    <w:family w:val="modern"/>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 w:name="Hiragino Sans GB">
    <w:altName w:val="仿宋_GB2312"/>
    <w:panose1 w:val="00000000000000000000"/>
    <w:charset w:val="00"/>
    <w:family w:val="swiss"/>
    <w:pitch w:val="default"/>
    <w:sig w:usb0="00000000" w:usb1="00000000" w:usb2="00000000" w:usb3="00000000" w:csb0="00040001" w:csb1="00000000"/>
  </w:font>
  <w:font w:name="ˎ̥">
    <w:altName w:val="Times New Roman"/>
    <w:panose1 w:val="00000000000000000000"/>
    <w:charset w:val="00"/>
    <w:family w:val="swiss"/>
    <w:pitch w:val="default"/>
    <w:sig w:usb0="00000000" w:usb1="00000000" w:usb2="00000000" w:usb3="00000000" w:csb0="00040001" w:csb1="00000000"/>
  </w:font>
  <w:font w:name="楷体_GB2312">
    <w:panose1 w:val="02010609030101010101"/>
    <w:charset w:val="86"/>
    <w:family w:val="swiss"/>
    <w:pitch w:val="default"/>
    <w:sig w:usb0="00000001" w:usb1="080E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黑体">
    <w:panose1 w:val="02010609060101010101"/>
    <w:charset w:val="86"/>
    <w:family w:val="decorative"/>
    <w:pitch w:val="default"/>
    <w:sig w:usb0="800002BF" w:usb1="38CF7CFA" w:usb2="00000016" w:usb3="00000000" w:csb0="00040001" w:csb1="00000000"/>
  </w:font>
  <w:font w:name="楷体">
    <w:panose1 w:val="02010609060101010101"/>
    <w:charset w:val="86"/>
    <w:family w:val="roman"/>
    <w:pitch w:val="default"/>
    <w:sig w:usb0="800002BF" w:usb1="38CF7CFA" w:usb2="00000016" w:usb3="00000000" w:csb0="00040001" w:csb1="00000000"/>
  </w:font>
  <w:font w:name="黑体">
    <w:panose1 w:val="02010609060101010101"/>
    <w:charset w:val="86"/>
    <w:family w:val="roma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黑体">
    <w:panose1 w:val="02010609060101010101"/>
    <w:charset w:val="86"/>
    <w:family w:val="modern"/>
    <w:pitch w:val="default"/>
    <w:sig w:usb0="800002BF" w:usb1="38CF7CFA" w:usb2="00000016" w:usb3="00000000" w:csb0="00040001" w:csb1="00000000"/>
  </w:font>
  <w:font w:name="楷体">
    <w:panose1 w:val="02010609060101010101"/>
    <w:charset w:val="86"/>
    <w:family w:val="swiss"/>
    <w:pitch w:val="default"/>
    <w:sig w:usb0="800002BF" w:usb1="38CF7CFA" w:usb2="00000016" w:usb3="00000000" w:csb0="00040001" w:csb1="00000000"/>
  </w:font>
  <w:font w:name="黑体">
    <w:panose1 w:val="02010609060101010101"/>
    <w:charset w:val="86"/>
    <w:family w:val="swiss"/>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bookFoldPrinting w:val="1"/>
  <w:bookFoldPrintingSheets w:val="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E66588"/>
    <w:rsid w:val="0002273F"/>
    <w:rsid w:val="000B7BFE"/>
    <w:rsid w:val="000F34EF"/>
    <w:rsid w:val="0041360B"/>
    <w:rsid w:val="00670733"/>
    <w:rsid w:val="00B43C12"/>
    <w:rsid w:val="00B631BF"/>
    <w:rsid w:val="019E65B7"/>
    <w:rsid w:val="01B16034"/>
    <w:rsid w:val="022415F5"/>
    <w:rsid w:val="02565574"/>
    <w:rsid w:val="02596A8D"/>
    <w:rsid w:val="02CB68A5"/>
    <w:rsid w:val="034E4AF7"/>
    <w:rsid w:val="039E39E6"/>
    <w:rsid w:val="0437411F"/>
    <w:rsid w:val="043F423F"/>
    <w:rsid w:val="04A03D64"/>
    <w:rsid w:val="04B36E8A"/>
    <w:rsid w:val="04F07C1D"/>
    <w:rsid w:val="04F92FD4"/>
    <w:rsid w:val="055931C2"/>
    <w:rsid w:val="06AA30F5"/>
    <w:rsid w:val="06F34FE0"/>
    <w:rsid w:val="07091852"/>
    <w:rsid w:val="07736F56"/>
    <w:rsid w:val="086430D3"/>
    <w:rsid w:val="08AB6CA9"/>
    <w:rsid w:val="09833043"/>
    <w:rsid w:val="09B26615"/>
    <w:rsid w:val="0AF71AAD"/>
    <w:rsid w:val="0BC90414"/>
    <w:rsid w:val="0BD660AD"/>
    <w:rsid w:val="0CBC6F0D"/>
    <w:rsid w:val="0D134FAA"/>
    <w:rsid w:val="0E29036D"/>
    <w:rsid w:val="0EBC1422"/>
    <w:rsid w:val="0FD8065B"/>
    <w:rsid w:val="10C657A3"/>
    <w:rsid w:val="10FE1F9B"/>
    <w:rsid w:val="11202B89"/>
    <w:rsid w:val="11334587"/>
    <w:rsid w:val="12184163"/>
    <w:rsid w:val="128731CB"/>
    <w:rsid w:val="12913056"/>
    <w:rsid w:val="129852B8"/>
    <w:rsid w:val="12AC22F2"/>
    <w:rsid w:val="12B058F8"/>
    <w:rsid w:val="12D17B8D"/>
    <w:rsid w:val="13E66588"/>
    <w:rsid w:val="14524186"/>
    <w:rsid w:val="147348CF"/>
    <w:rsid w:val="14B11FE4"/>
    <w:rsid w:val="14B9201F"/>
    <w:rsid w:val="15215CEF"/>
    <w:rsid w:val="155D294E"/>
    <w:rsid w:val="157B0B10"/>
    <w:rsid w:val="158F6E26"/>
    <w:rsid w:val="162F6944"/>
    <w:rsid w:val="166405C9"/>
    <w:rsid w:val="16C90137"/>
    <w:rsid w:val="16C94992"/>
    <w:rsid w:val="16D60DE4"/>
    <w:rsid w:val="16EB58A2"/>
    <w:rsid w:val="17205878"/>
    <w:rsid w:val="17480DF9"/>
    <w:rsid w:val="17B4166B"/>
    <w:rsid w:val="17C57CB3"/>
    <w:rsid w:val="1827607E"/>
    <w:rsid w:val="18EF00A3"/>
    <w:rsid w:val="19232C0D"/>
    <w:rsid w:val="19AB700C"/>
    <w:rsid w:val="19CC1BFB"/>
    <w:rsid w:val="19D807AD"/>
    <w:rsid w:val="19E00FB5"/>
    <w:rsid w:val="19E1044E"/>
    <w:rsid w:val="1C83169C"/>
    <w:rsid w:val="1D6C12DA"/>
    <w:rsid w:val="1F135F54"/>
    <w:rsid w:val="1F271488"/>
    <w:rsid w:val="1F300484"/>
    <w:rsid w:val="229B5520"/>
    <w:rsid w:val="22FD39DD"/>
    <w:rsid w:val="2344236F"/>
    <w:rsid w:val="24547418"/>
    <w:rsid w:val="245978D8"/>
    <w:rsid w:val="247B3D92"/>
    <w:rsid w:val="25072937"/>
    <w:rsid w:val="252E0850"/>
    <w:rsid w:val="253B201A"/>
    <w:rsid w:val="254D2B0E"/>
    <w:rsid w:val="260A4AE0"/>
    <w:rsid w:val="279638E2"/>
    <w:rsid w:val="284E3A26"/>
    <w:rsid w:val="28513A4D"/>
    <w:rsid w:val="2893433B"/>
    <w:rsid w:val="28AB101B"/>
    <w:rsid w:val="294D115F"/>
    <w:rsid w:val="296911AF"/>
    <w:rsid w:val="2A572B7C"/>
    <w:rsid w:val="2A7B631C"/>
    <w:rsid w:val="2A96445C"/>
    <w:rsid w:val="2AB62F4C"/>
    <w:rsid w:val="2AFA58E0"/>
    <w:rsid w:val="2B042854"/>
    <w:rsid w:val="2B0F00DB"/>
    <w:rsid w:val="2B7C3266"/>
    <w:rsid w:val="2B821312"/>
    <w:rsid w:val="2C190C2C"/>
    <w:rsid w:val="2D487614"/>
    <w:rsid w:val="2E7C2FBA"/>
    <w:rsid w:val="2EA533B3"/>
    <w:rsid w:val="2EBF5346"/>
    <w:rsid w:val="2EFC0048"/>
    <w:rsid w:val="2F7C6048"/>
    <w:rsid w:val="30620B69"/>
    <w:rsid w:val="308375F2"/>
    <w:rsid w:val="31EB226C"/>
    <w:rsid w:val="32222AB9"/>
    <w:rsid w:val="323B2109"/>
    <w:rsid w:val="328D2713"/>
    <w:rsid w:val="329F6164"/>
    <w:rsid w:val="32CB6439"/>
    <w:rsid w:val="336133CA"/>
    <w:rsid w:val="337378FC"/>
    <w:rsid w:val="33D3596E"/>
    <w:rsid w:val="33DA69A0"/>
    <w:rsid w:val="34331B41"/>
    <w:rsid w:val="3484085F"/>
    <w:rsid w:val="349343E5"/>
    <w:rsid w:val="34AC20E7"/>
    <w:rsid w:val="34F36F4A"/>
    <w:rsid w:val="351F44CD"/>
    <w:rsid w:val="35B4666F"/>
    <w:rsid w:val="35BD5BBA"/>
    <w:rsid w:val="3656444D"/>
    <w:rsid w:val="369B7943"/>
    <w:rsid w:val="37E445EA"/>
    <w:rsid w:val="38362237"/>
    <w:rsid w:val="394C6FF8"/>
    <w:rsid w:val="3983242E"/>
    <w:rsid w:val="39A5653E"/>
    <w:rsid w:val="3AF61D0F"/>
    <w:rsid w:val="3B0026B7"/>
    <w:rsid w:val="3B66379A"/>
    <w:rsid w:val="3C784111"/>
    <w:rsid w:val="3C7A594F"/>
    <w:rsid w:val="3CD15FE6"/>
    <w:rsid w:val="3D133391"/>
    <w:rsid w:val="3D30211A"/>
    <w:rsid w:val="3DFD28C9"/>
    <w:rsid w:val="3E36783A"/>
    <w:rsid w:val="3E5E5900"/>
    <w:rsid w:val="3E8124D1"/>
    <w:rsid w:val="3EF40617"/>
    <w:rsid w:val="40927126"/>
    <w:rsid w:val="415707A0"/>
    <w:rsid w:val="421265A7"/>
    <w:rsid w:val="42750C46"/>
    <w:rsid w:val="42F57F5F"/>
    <w:rsid w:val="433C7975"/>
    <w:rsid w:val="434F14B2"/>
    <w:rsid w:val="43873421"/>
    <w:rsid w:val="440A3F95"/>
    <w:rsid w:val="451021DD"/>
    <w:rsid w:val="45C85C7A"/>
    <w:rsid w:val="46212421"/>
    <w:rsid w:val="474D4AEA"/>
    <w:rsid w:val="479333D3"/>
    <w:rsid w:val="4962527D"/>
    <w:rsid w:val="49CB4F01"/>
    <w:rsid w:val="4B9164E7"/>
    <w:rsid w:val="4B997E09"/>
    <w:rsid w:val="4C2E0330"/>
    <w:rsid w:val="4C463CFF"/>
    <w:rsid w:val="4C966674"/>
    <w:rsid w:val="4D5969D1"/>
    <w:rsid w:val="4DAC2A3A"/>
    <w:rsid w:val="4DB94924"/>
    <w:rsid w:val="4E9C10F0"/>
    <w:rsid w:val="4ED71AF2"/>
    <w:rsid w:val="4FAE760D"/>
    <w:rsid w:val="4FCA11FF"/>
    <w:rsid w:val="4FD95B6A"/>
    <w:rsid w:val="507E14EF"/>
    <w:rsid w:val="50C43566"/>
    <w:rsid w:val="50E2149D"/>
    <w:rsid w:val="511959D3"/>
    <w:rsid w:val="5213023A"/>
    <w:rsid w:val="529C3F6C"/>
    <w:rsid w:val="52A3354B"/>
    <w:rsid w:val="53101FC3"/>
    <w:rsid w:val="53475F32"/>
    <w:rsid w:val="53A633A2"/>
    <w:rsid w:val="54265E6C"/>
    <w:rsid w:val="547525FE"/>
    <w:rsid w:val="54B40A1C"/>
    <w:rsid w:val="54EB0B49"/>
    <w:rsid w:val="55372F67"/>
    <w:rsid w:val="55407837"/>
    <w:rsid w:val="55E33A2E"/>
    <w:rsid w:val="563828D0"/>
    <w:rsid w:val="571740B4"/>
    <w:rsid w:val="57621EE6"/>
    <w:rsid w:val="57734E4B"/>
    <w:rsid w:val="59575B07"/>
    <w:rsid w:val="598C5BB0"/>
    <w:rsid w:val="59DE3C47"/>
    <w:rsid w:val="5A1B1378"/>
    <w:rsid w:val="5A4629C8"/>
    <w:rsid w:val="5A5205DC"/>
    <w:rsid w:val="5A823D74"/>
    <w:rsid w:val="5CA1707B"/>
    <w:rsid w:val="5D035816"/>
    <w:rsid w:val="5D336DED"/>
    <w:rsid w:val="5E532307"/>
    <w:rsid w:val="5EB95A5F"/>
    <w:rsid w:val="5F8648EC"/>
    <w:rsid w:val="5FD81858"/>
    <w:rsid w:val="60C8026F"/>
    <w:rsid w:val="615D3001"/>
    <w:rsid w:val="61B671BE"/>
    <w:rsid w:val="62205BCE"/>
    <w:rsid w:val="62ED3702"/>
    <w:rsid w:val="63A438F2"/>
    <w:rsid w:val="63B24C49"/>
    <w:rsid w:val="642B3C38"/>
    <w:rsid w:val="64D7291E"/>
    <w:rsid w:val="64E22A46"/>
    <w:rsid w:val="655D7233"/>
    <w:rsid w:val="65DC0E7B"/>
    <w:rsid w:val="66047914"/>
    <w:rsid w:val="666C642D"/>
    <w:rsid w:val="677C51DA"/>
    <w:rsid w:val="677D0D06"/>
    <w:rsid w:val="68013F88"/>
    <w:rsid w:val="68044FC5"/>
    <w:rsid w:val="69134032"/>
    <w:rsid w:val="699E1A66"/>
    <w:rsid w:val="69A208A5"/>
    <w:rsid w:val="6BDF0171"/>
    <w:rsid w:val="6BE95F84"/>
    <w:rsid w:val="6BEF29CE"/>
    <w:rsid w:val="6D1B2F37"/>
    <w:rsid w:val="6D303210"/>
    <w:rsid w:val="6E084D5C"/>
    <w:rsid w:val="6E424AFE"/>
    <w:rsid w:val="6E903E8F"/>
    <w:rsid w:val="6F534BAB"/>
    <w:rsid w:val="6F767075"/>
    <w:rsid w:val="7079638F"/>
    <w:rsid w:val="70B74574"/>
    <w:rsid w:val="71A3654B"/>
    <w:rsid w:val="7269701C"/>
    <w:rsid w:val="726D3817"/>
    <w:rsid w:val="727332B3"/>
    <w:rsid w:val="72B35177"/>
    <w:rsid w:val="73E650BF"/>
    <w:rsid w:val="74E45C5D"/>
    <w:rsid w:val="74E52596"/>
    <w:rsid w:val="75B168DB"/>
    <w:rsid w:val="75C76AC7"/>
    <w:rsid w:val="75E0744A"/>
    <w:rsid w:val="765B0978"/>
    <w:rsid w:val="77306E15"/>
    <w:rsid w:val="77432751"/>
    <w:rsid w:val="78A703E6"/>
    <w:rsid w:val="78B56933"/>
    <w:rsid w:val="78CC6474"/>
    <w:rsid w:val="79011F86"/>
    <w:rsid w:val="79813902"/>
    <w:rsid w:val="7B197ACC"/>
    <w:rsid w:val="7B1C4034"/>
    <w:rsid w:val="7B4A2A22"/>
    <w:rsid w:val="7B8962EA"/>
    <w:rsid w:val="7C1C543E"/>
    <w:rsid w:val="7CBE541F"/>
    <w:rsid w:val="7CDF5C44"/>
    <w:rsid w:val="7CF944AF"/>
    <w:rsid w:val="7F326B7A"/>
    <w:rsid w:val="7FF6143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2016-03-31T03:17:00Z</dcterms:created>
  <dc:creator>User</dc:creator>
  <cp:lastModifiedBy>User</cp:lastModifiedBy>
  <cp:lastPrinted>2016-04-19T07:58:37Z</cp:lastPrinted>
  <dcterms:modified xsi:type="dcterms:W3CDTF">2016-04-19T08:28:19Z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