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附件2</w:t>
      </w:r>
    </w:p>
    <w:p>
      <w:pPr>
        <w:spacing w:line="240" w:lineRule="exact"/>
        <w:rPr>
          <w:rFonts w:hint="eastAsia" w:ascii="Times New Roman" w:hAnsi="Times New Roman" w:eastAsia="方正小标宋简体"/>
          <w:sz w:val="44"/>
          <w:szCs w:val="44"/>
        </w:rPr>
      </w:pPr>
    </w:p>
    <w:p>
      <w:pPr>
        <w:spacing w:line="680" w:lineRule="exact"/>
        <w:jc w:val="center"/>
        <w:rPr>
          <w:rFonts w:ascii="Times New Roman" w:hAnsi="Times New Roman" w:eastAsia="仿宋_GB2312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</w:rPr>
        <w:t>首发首秀活动名词解释</w:t>
      </w:r>
    </w:p>
    <w:bookmarkEnd w:id="0"/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一、本政策所指的首发活动是指品牌方或由品牌授权方，在全国市场范围内首次发布新品或展示新品的重点宣传推介活动。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二、本政策所指的首秀活动是指品牌方或品牌授权方，在全国市场范围内首次举办集合某品牌多种产品的展览、展示活动。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三、首发、首秀活动的国际知名品牌指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入选以下榜单之一的国际品牌：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世界品牌实验室发布的《世界品牌500强榜单》《亚洲品牌500强》，福布斯发布的《奢侈品牌排行榜》，胡润研究院发布的《胡润品牌榜》，品牌联盟发布的《中国品牌500强》，德勤发布的《全球奢侈品力量排行榜》《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全球商业服务品牌价值100强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》，品牌金融发布的《全球最有价值零售品牌榜》，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榜单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以2021-2023年已发布的为依据。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四、首发、首秀活动的国内知名品牌指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入选以下榜单之一的国内品牌：世界品牌实验室发布的《中国500最具价值品牌排行榜》，中国企业联合会、中国企业家协会最新发布的《中国服务业企业500强榜单》，中国连锁经营协会发布的《中国时尚零售百强榜单》《中国特许连锁百强榜单》《中国超市百强榜单》，胡润研究院发布的《中国瞪羚企业榜》《中国最具历史文化底蕴品牌榜》，美团发布的《黑珍珠餐厅指南》《大众点评必吃榜》，商务部发布的中华老字号名单，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中国连锁经营协会联合德勤共同发布的《中国网络零售TOP100榜单》，中国饭店协会与新华网联合发布的《2021-2022中国餐饮业100家领跑企业名单》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榜单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以2021-2023年已发布的为依据。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01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zj</cp:lastModifiedBy>
  <dcterms:modified xsi:type="dcterms:W3CDTF">2023-09-12T02:24:50Z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