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Times New Roman" w:hAnsi="Times New Roman" w:eastAsia="方正小标宋简体"/>
          <w:sz w:val="36"/>
          <w:szCs w:val="44"/>
        </w:rPr>
      </w:pPr>
      <w:r>
        <w:rPr>
          <w:rFonts w:hint="eastAsia" w:ascii="Times New Roman" w:hAnsi="Times New Roman" w:eastAsia="方正小标宋简体"/>
          <w:sz w:val="36"/>
          <w:szCs w:val="44"/>
        </w:rPr>
        <w:t>品牌首店分级标准表</w:t>
      </w:r>
    </w:p>
    <w:tbl>
      <w:tblPr>
        <w:tblStyle w:val="2"/>
        <w:tblW w:w="88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544"/>
        <w:gridCol w:w="72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  <w:tblHeader/>
          <w:jc w:val="center"/>
        </w:trPr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111111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黑体" w:cs="等线"/>
                <w:color w:val="111111"/>
                <w:kern w:val="0"/>
                <w:sz w:val="28"/>
                <w:szCs w:val="24"/>
              </w:rPr>
              <w:t>类别</w:t>
            </w:r>
          </w:p>
        </w:tc>
        <w:tc>
          <w:tcPr>
            <w:tcW w:w="7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/>
                <w:color w:val="111111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黑体" w:cs="等线"/>
                <w:color w:val="111111"/>
                <w:kern w:val="0"/>
                <w:sz w:val="28"/>
                <w:szCs w:val="24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29" w:hRule="atLeast"/>
          <w:jc w:val="center"/>
        </w:trPr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黑体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  <w:t>全球首店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  <w:t>亚洲首店</w:t>
            </w:r>
          </w:p>
        </w:tc>
        <w:tc>
          <w:tcPr>
            <w:tcW w:w="7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Times New Roman" w:hAnsi="Times New Roman" w:eastAsia="方正仿宋_GBK" w:cs="仿宋_GB2312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内外品牌在全球或亚洲设立的第1家线下实体零售或餐饮门店，且该品牌须入选以下榜单之一：世界品牌实验室发布的《世界品牌500强榜单》《亚洲品牌500强》《中国500最具价值品牌排行榜》，中国企业联合会、中国企业家协会发布的《中国服务业企业500强榜单》，福布斯发布的《奢侈品牌排行榜》，胡润研究院发布的《胡润品牌榜》，品牌联盟发布的《中国品牌500强》，德勤发布的《全球奢侈品力量排行榜》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shd w:val="clear" w:color="auto" w:fill="FFFFFF"/>
              </w:rPr>
              <w:t>全球商业服务品牌价值100强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》，品牌金融发布的《全球最有价值零售品牌榜》。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8" w:hRule="atLeast"/>
          <w:jc w:val="center"/>
        </w:trPr>
        <w:tc>
          <w:tcPr>
            <w:tcW w:w="154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黑体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  <w:t>中国（内地）首店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111111"/>
                <w:kern w:val="0"/>
                <w:sz w:val="16"/>
                <w:szCs w:val="18"/>
              </w:rPr>
              <w:t>（三个条件满足其一）</w:t>
            </w:r>
          </w:p>
        </w:tc>
        <w:tc>
          <w:tcPr>
            <w:tcW w:w="7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1．符合全球、亚洲首店品牌清单内的品牌在中国（内地）设立的第1家线下实体门店。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49" w:hRule="atLeast"/>
          <w:jc w:val="center"/>
        </w:trPr>
        <w:tc>
          <w:tcPr>
            <w:tcW w:w="1544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2．知名国外品牌在中国（内地）设立的第1家线下实体门店。该品牌须在全球知名消费城市（纽约、洛杉矶、伦敦、巴黎、米兰、迪拜、日内瓦、苏黎世、都柏林、哥本哈根、悉尼、东京、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中国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香港、新加坡、首尔）开设3家（含）以上门店；同时，获得国家级媒体平台或《VOGUE》《ELLE》《时尚芭莎》《时尚COSMO》《GQ》《T Magazine》等知名时尚媒体对该品牌宣传5次（含）以上。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08" w:hRule="atLeast"/>
          <w:jc w:val="center"/>
        </w:trPr>
        <w:tc>
          <w:tcPr>
            <w:tcW w:w="1544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知名国内品牌在中国（内地）设立的第1家线下实体门店。原则上该品牌须入选以下榜单之一：中国连锁经营协会发布的《中国时尚零售百强榜单》《中国特许连锁百强榜单》《中国超市百强榜单》，胡润研究院发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《中国瞪羚企业榜》《中国最具历史文化底蕴品牌榜》，美团发布的《黑珍珠餐厅指南》《大众点评必吃榜》，商务部发布的中华老字号名单，中国连锁经营协会联合德勤共同发布的《中国网络零售TOP100榜单》，中国饭店协会与新华网联合发布的《2021-2022中国餐饮业100家领跑企业名单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21" w:hRule="atLeast"/>
          <w:jc w:val="center"/>
        </w:trPr>
        <w:tc>
          <w:tcPr>
            <w:tcW w:w="154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  <w:t>华中首店</w:t>
            </w:r>
          </w:p>
        </w:tc>
        <w:tc>
          <w:tcPr>
            <w:tcW w:w="7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1111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111111"/>
                <w:kern w:val="0"/>
                <w:sz w:val="24"/>
                <w:szCs w:val="24"/>
              </w:rPr>
              <w:t>符合上文全球首店、亚洲首店、中国（内地）首店品牌清单内的品牌在武汉设立的华中地区第1家线下实体门店。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21" w:hRule="atLeast"/>
          <w:jc w:val="center"/>
        </w:trPr>
        <w:tc>
          <w:tcPr>
            <w:tcW w:w="154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黑体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  <w:t>武汉首店</w:t>
            </w:r>
          </w:p>
        </w:tc>
        <w:tc>
          <w:tcPr>
            <w:tcW w:w="7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1111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111111"/>
                <w:kern w:val="0"/>
                <w:sz w:val="24"/>
                <w:szCs w:val="24"/>
              </w:rPr>
              <w:t>符合上文全球首店、亚洲首店、中国（内地）首店、华中首店品牌清单内的品牌在武汉市设立的第1家线下实体门店。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88" w:hRule="atLeast"/>
          <w:jc w:val="center"/>
        </w:trPr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  <w:t>旗舰店</w:t>
            </w:r>
          </w:p>
        </w:tc>
        <w:tc>
          <w:tcPr>
            <w:tcW w:w="7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充分体现品牌形象，面积在500平方米以上（含）的独立门店或位于商业载体内、面积在300平方米以上（含）的门店，且门店面积超过该品牌在武汉开设的其他实体店，商品类别涵盖该品牌当前主要商品线的零售业态实体门店。门店每年至少代表品牌举办一次与旗舰店定位匹配的新品发布活动；获得全国性媒体平台或知名时尚媒体宣传3次（含）以上，同时品牌须满足前述品牌清单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99" w:hRule="atLeast"/>
          <w:jc w:val="center"/>
        </w:trPr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111111"/>
                <w:kern w:val="0"/>
                <w:sz w:val="24"/>
                <w:szCs w:val="24"/>
              </w:rPr>
              <w:t>创新概念店</w:t>
            </w:r>
          </w:p>
        </w:tc>
        <w:tc>
          <w:tcPr>
            <w:tcW w:w="7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Times New Roman" w:hAnsi="Times New Roman" w:eastAsia="仿宋_GB2312" w:cs="仿宋_GB2312"/>
                <w:color w:val="1111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将消费概念与品牌相结合，充分体现品牌文化主张，与该品牌其它门店相较，在风格、形象、产品、服务等方面有显著差异化特色的零售或餐饮门店，同时品牌须满足前述品牌清单要求。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71" w:hRule="atLeast"/>
          <w:jc w:val="center"/>
        </w:trPr>
        <w:tc>
          <w:tcPr>
            <w:tcW w:w="883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注：申报亚洲首店，品牌或品牌持有方须在除亚洲外的其他大洲开设有实体门店；申报中国（内地）首店，品牌或品牌持有方须在除中国（内地）外的其他国家或地区开设有实体门店；申报华中首店，品牌或品牌持有方须在除华中地区以外的其他城市开设有实体门店；申报武汉首店，品牌或品牌持有方须在除武汉以外的其他城市开设有实体门店。本政策华中地区包括湖北、河南和湖南三省。《品牌首店分级标准表》中的榜单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以2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  <w:t>-2023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年已发布的为依据。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1CF4D"/>
    <w:multiLevelType w:val="singleLevel"/>
    <w:tmpl w:val="AA61CF4D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365BE"/>
    <w:rsid w:val="FF15B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ht706</cp:lastModifiedBy>
  <dcterms:modified xsi:type="dcterms:W3CDTF">2025-12-16T16:08:21Z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123F12CE29D42C0075134169350907A0</vt:lpwstr>
  </property>
</Properties>
</file>